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625A5">
      <w:pPr>
        <w:jc w:val="center"/>
        <w:rPr>
          <w:rFonts w:asciiTheme="minorEastAsia" w:hAnsiTheme="minorEastAsia" w:cstheme="minorEastAsia"/>
          <w:sz w:val="44"/>
          <w:szCs w:val="44"/>
        </w:rPr>
      </w:pPr>
    </w:p>
    <w:p w14:paraId="58349669">
      <w:pPr>
        <w:rPr>
          <w:rFonts w:asciiTheme="minorEastAsia" w:hAnsiTheme="minorEastAsia" w:cstheme="minorEastAsia"/>
          <w:sz w:val="44"/>
          <w:szCs w:val="44"/>
        </w:rPr>
      </w:pPr>
    </w:p>
    <w:p w14:paraId="67D94B4C">
      <w:pPr>
        <w:jc w:val="center"/>
        <w:rPr>
          <w:rFonts w:ascii="宋体" w:hAnsi="宋体" w:eastAsia="宋体" w:cs="宋体"/>
          <w:sz w:val="36"/>
          <w:szCs w:val="36"/>
          <w:shd w:val="clear" w:color="auto" w:fill="FFFFFF"/>
        </w:rPr>
      </w:pPr>
      <w:r>
        <w:rPr>
          <w:rFonts w:hint="eastAsia" w:asciiTheme="minorEastAsia" w:hAnsiTheme="minorEastAsia" w:cstheme="minorEastAsia"/>
          <w:sz w:val="44"/>
          <w:szCs w:val="44"/>
        </w:rPr>
        <w:t>宝鸡市关山草原风景名胜区管理办法</w:t>
      </w:r>
    </w:p>
    <w:p w14:paraId="2898B070">
      <w:pPr>
        <w:ind w:firstLine="640" w:firstLineChars="200"/>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(202</w:t>
      </w:r>
      <w:r>
        <w:rPr>
          <w:rFonts w:hint="eastAsia" w:ascii="楷体_GB2312" w:hAnsi="楷体_GB2312" w:eastAsia="楷体_GB2312" w:cs="楷体_GB2312"/>
          <w:color w:val="333333"/>
          <w:sz w:val="32"/>
          <w:szCs w:val="32"/>
          <w:shd w:val="clear" w:color="auto" w:fill="FFFFFF"/>
          <w:lang w:val="en-US" w:eastAsia="zh-CN"/>
        </w:rPr>
        <w:t>4</w:t>
      </w:r>
      <w:r>
        <w:rPr>
          <w:rFonts w:hint="eastAsia" w:ascii="楷体_GB2312" w:hAnsi="楷体_GB2312" w:eastAsia="楷体_GB2312" w:cs="楷体_GB2312"/>
          <w:color w:val="333333"/>
          <w:sz w:val="32"/>
          <w:szCs w:val="32"/>
          <w:shd w:val="clear" w:color="auto" w:fill="FFFFFF"/>
        </w:rPr>
        <w:t>年1</w:t>
      </w:r>
      <w:r>
        <w:rPr>
          <w:rFonts w:hint="eastAsia" w:ascii="楷体_GB2312" w:hAnsi="楷体_GB2312" w:eastAsia="楷体_GB2312" w:cs="楷体_GB2312"/>
          <w:color w:val="333333"/>
          <w:sz w:val="32"/>
          <w:szCs w:val="32"/>
          <w:shd w:val="clear" w:color="auto" w:fill="FFFFFF"/>
          <w:lang w:val="en-US" w:eastAsia="zh-CN"/>
        </w:rPr>
        <w:t>2</w:t>
      </w:r>
      <w:r>
        <w:rPr>
          <w:rFonts w:hint="eastAsia" w:ascii="楷体_GB2312" w:hAnsi="楷体_GB2312" w:eastAsia="楷体_GB2312" w:cs="楷体_GB2312"/>
          <w:color w:val="333333"/>
          <w:sz w:val="32"/>
          <w:szCs w:val="32"/>
          <w:shd w:val="clear" w:color="auto" w:fill="FFFFFF"/>
        </w:rPr>
        <w:t>月</w:t>
      </w:r>
      <w:r>
        <w:rPr>
          <w:rFonts w:hint="eastAsia" w:ascii="楷体_GB2312" w:hAnsi="楷体_GB2312" w:eastAsia="楷体_GB2312" w:cs="楷体_GB2312"/>
          <w:color w:val="333333"/>
          <w:sz w:val="32"/>
          <w:szCs w:val="32"/>
          <w:shd w:val="clear" w:color="auto" w:fill="FFFFFF"/>
          <w:lang w:val="en-US" w:eastAsia="zh-CN"/>
        </w:rPr>
        <w:t>25</w:t>
      </w:r>
      <w:r>
        <w:rPr>
          <w:rFonts w:hint="eastAsia" w:ascii="楷体_GB2312" w:hAnsi="楷体_GB2312" w:eastAsia="楷体_GB2312" w:cs="楷体_GB2312"/>
          <w:color w:val="333333"/>
          <w:sz w:val="32"/>
          <w:szCs w:val="32"/>
          <w:shd w:val="clear" w:color="auto" w:fill="FFFFFF"/>
        </w:rPr>
        <w:t>日宝鸡市人民政府令第8</w:t>
      </w:r>
      <w:r>
        <w:rPr>
          <w:rFonts w:hint="eastAsia" w:ascii="楷体_GB2312" w:hAnsi="楷体_GB2312" w:eastAsia="楷体_GB2312" w:cs="楷体_GB2312"/>
          <w:color w:val="333333"/>
          <w:sz w:val="32"/>
          <w:szCs w:val="32"/>
          <w:shd w:val="clear" w:color="auto" w:fill="FFFFFF"/>
          <w:lang w:val="en-US" w:eastAsia="zh-CN"/>
        </w:rPr>
        <w:t>3</w:t>
      </w:r>
      <w:r>
        <w:rPr>
          <w:rFonts w:hint="eastAsia" w:ascii="楷体_GB2312" w:hAnsi="楷体_GB2312" w:eastAsia="楷体_GB2312" w:cs="楷体_GB2312"/>
          <w:color w:val="333333"/>
          <w:sz w:val="32"/>
          <w:szCs w:val="32"/>
          <w:shd w:val="clear" w:color="auto" w:fill="FFFFFF"/>
        </w:rPr>
        <w:t>号公布 自202</w:t>
      </w:r>
      <w:r>
        <w:rPr>
          <w:rFonts w:hint="eastAsia" w:ascii="楷体_GB2312" w:hAnsi="楷体_GB2312" w:eastAsia="楷体_GB2312" w:cs="楷体_GB2312"/>
          <w:color w:val="333333"/>
          <w:sz w:val="32"/>
          <w:szCs w:val="32"/>
          <w:shd w:val="clear" w:color="auto" w:fill="FFFFFF"/>
          <w:lang w:val="en-US" w:eastAsia="zh-CN"/>
        </w:rPr>
        <w:t>5</w:t>
      </w:r>
      <w:r>
        <w:rPr>
          <w:rFonts w:hint="eastAsia" w:ascii="楷体_GB2312" w:hAnsi="楷体_GB2312" w:eastAsia="楷体_GB2312" w:cs="楷体_GB2312"/>
          <w:color w:val="333333"/>
          <w:sz w:val="32"/>
          <w:szCs w:val="32"/>
          <w:shd w:val="clear" w:color="auto" w:fill="FFFFFF"/>
        </w:rPr>
        <w:t>年</w:t>
      </w:r>
      <w:r>
        <w:rPr>
          <w:rFonts w:hint="eastAsia" w:ascii="楷体_GB2312" w:hAnsi="楷体_GB2312" w:eastAsia="楷体_GB2312" w:cs="楷体_GB2312"/>
          <w:color w:val="333333"/>
          <w:sz w:val="32"/>
          <w:szCs w:val="32"/>
          <w:shd w:val="clear" w:color="auto" w:fill="FFFFFF"/>
          <w:lang w:val="en-US" w:eastAsia="zh-CN"/>
        </w:rPr>
        <w:t>5</w:t>
      </w:r>
      <w:r>
        <w:rPr>
          <w:rFonts w:hint="eastAsia" w:ascii="楷体_GB2312" w:hAnsi="楷体_GB2312" w:eastAsia="楷体_GB2312" w:cs="楷体_GB2312"/>
          <w:color w:val="333333"/>
          <w:sz w:val="32"/>
          <w:szCs w:val="32"/>
          <w:shd w:val="clear" w:color="auto" w:fill="FFFFFF"/>
        </w:rPr>
        <w:t>月1日起施行)</w:t>
      </w:r>
    </w:p>
    <w:p w14:paraId="0DD949E1">
      <w:pPr>
        <w:rPr>
          <w:rFonts w:ascii="宋体" w:hAnsi="宋体" w:eastAsia="宋体" w:cs="宋体"/>
          <w:color w:val="333333"/>
          <w:sz w:val="36"/>
          <w:szCs w:val="36"/>
          <w:shd w:val="clear" w:color="auto" w:fill="FFFFFF"/>
        </w:rPr>
      </w:pPr>
    </w:p>
    <w:p w14:paraId="50168565">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bookmarkStart w:id="1" w:name="_GoBack"/>
      <w:r>
        <w:rPr>
          <w:rFonts w:hint="eastAsia" w:ascii="黑体" w:hAnsi="黑体" w:eastAsia="黑体" w:cs="黑体"/>
          <w:color w:val="000000"/>
          <w:sz w:val="32"/>
          <w:szCs w:val="32"/>
        </w:rPr>
        <w:t>目　　录</w:t>
      </w:r>
    </w:p>
    <w:p w14:paraId="3E0BE480">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p>
    <w:p w14:paraId="2351B46C">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第一章　</w:t>
      </w:r>
      <w:r>
        <w:rPr>
          <w:rFonts w:hint="eastAsia" w:ascii="仿宋_GB2312" w:hAnsi="仿宋_GB2312" w:eastAsia="仿宋_GB2312" w:cs="仿宋_GB2312"/>
          <w:color w:val="000000"/>
          <w:sz w:val="32"/>
          <w:szCs w:val="32"/>
        </w:rPr>
        <w:t>总</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则</w:t>
      </w:r>
    </w:p>
    <w:p w14:paraId="3861D0E0">
      <w:pPr>
        <w:keepNext w:val="0"/>
        <w:keepLines w:val="0"/>
        <w:pageBreakBefore w:val="0"/>
        <w:kinsoku/>
        <w:wordWrap/>
        <w:overflowPunct/>
        <w:topLinePunct w:val="0"/>
        <w:autoSpaceDE/>
        <w:autoSpaceDN/>
        <w:bidi w:val="0"/>
        <w:adjustRightInd w:val="0"/>
        <w:snapToGrid w:val="0"/>
        <w:spacing w:line="600" w:lineRule="exact"/>
        <w:ind w:firstLine="640"/>
        <w:rPr>
          <w:rFonts w:ascii="黑体" w:hAnsi="黑体" w:eastAsia="黑体" w:cs="黑体"/>
          <w:color w:val="000000"/>
          <w:sz w:val="32"/>
          <w:szCs w:val="32"/>
        </w:rPr>
      </w:pPr>
      <w:r>
        <w:rPr>
          <w:rFonts w:hint="eastAsia" w:ascii="黑体" w:hAnsi="黑体" w:eastAsia="黑体" w:cs="黑体"/>
          <w:color w:val="000000"/>
          <w:sz w:val="32"/>
          <w:szCs w:val="32"/>
        </w:rPr>
        <w:t>第二章　</w:t>
      </w:r>
      <w:r>
        <w:rPr>
          <w:rFonts w:hint="eastAsia" w:ascii="仿宋_GB2312" w:hAnsi="仿宋_GB2312" w:eastAsia="仿宋_GB2312" w:cs="仿宋_GB2312"/>
          <w:color w:val="000000"/>
          <w:sz w:val="32"/>
          <w:szCs w:val="32"/>
        </w:rPr>
        <w:t>规划与建设</w:t>
      </w:r>
    </w:p>
    <w:p w14:paraId="0561EE3F">
      <w:pPr>
        <w:keepNext w:val="0"/>
        <w:keepLines w:val="0"/>
        <w:pageBreakBefore w:val="0"/>
        <w:kinsoku/>
        <w:wordWrap/>
        <w:overflowPunct/>
        <w:topLinePunct w:val="0"/>
        <w:autoSpaceDE/>
        <w:autoSpaceDN/>
        <w:bidi w:val="0"/>
        <w:adjustRightInd w:val="0"/>
        <w:snapToGrid w:val="0"/>
        <w:spacing w:line="600" w:lineRule="exact"/>
        <w:ind w:firstLine="640"/>
        <w:rPr>
          <w:rFonts w:ascii="黑体" w:hAnsi="黑体" w:eastAsia="黑体" w:cs="黑体"/>
          <w:color w:val="000000"/>
          <w:sz w:val="32"/>
          <w:szCs w:val="32"/>
        </w:rPr>
      </w:pPr>
      <w:r>
        <w:rPr>
          <w:rFonts w:hint="eastAsia" w:ascii="黑体" w:hAnsi="黑体" w:eastAsia="黑体" w:cs="黑体"/>
          <w:color w:val="000000"/>
          <w:sz w:val="32"/>
          <w:szCs w:val="32"/>
        </w:rPr>
        <w:t>第三章　</w:t>
      </w:r>
      <w:r>
        <w:rPr>
          <w:rFonts w:hint="eastAsia" w:ascii="仿宋_GB2312" w:hAnsi="仿宋_GB2312" w:eastAsia="仿宋_GB2312" w:cs="仿宋_GB2312"/>
          <w:color w:val="000000"/>
          <w:sz w:val="32"/>
          <w:szCs w:val="32"/>
        </w:rPr>
        <w:t>保</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护</w:t>
      </w:r>
    </w:p>
    <w:p w14:paraId="7791E99D">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第四章　</w:t>
      </w:r>
      <w:r>
        <w:rPr>
          <w:rFonts w:hint="eastAsia" w:ascii="仿宋_GB2312" w:hAnsi="仿宋_GB2312" w:eastAsia="仿宋_GB2312" w:cs="仿宋_GB2312"/>
          <w:color w:val="000000"/>
          <w:sz w:val="32"/>
          <w:szCs w:val="32"/>
        </w:rPr>
        <w:t>管</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理</w:t>
      </w:r>
    </w:p>
    <w:p w14:paraId="4EE00EEA">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第五章　</w:t>
      </w:r>
      <w:r>
        <w:rPr>
          <w:rFonts w:hint="eastAsia" w:ascii="仿宋_GB2312" w:hAnsi="仿宋_GB2312" w:eastAsia="仿宋_GB2312" w:cs="仿宋_GB2312"/>
          <w:color w:val="000000"/>
          <w:sz w:val="32"/>
          <w:szCs w:val="32"/>
        </w:rPr>
        <w:t>法律责任</w:t>
      </w:r>
    </w:p>
    <w:p w14:paraId="5347CAE0">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第六章　</w:t>
      </w:r>
      <w:r>
        <w:rPr>
          <w:rFonts w:hint="eastAsia" w:ascii="仿宋_GB2312" w:hAnsi="仿宋_GB2312" w:eastAsia="仿宋_GB2312" w:cs="仿宋_GB2312"/>
          <w:color w:val="000000"/>
          <w:sz w:val="32"/>
          <w:szCs w:val="32"/>
        </w:rPr>
        <w:t>附</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则</w:t>
      </w:r>
    </w:p>
    <w:p w14:paraId="50354655">
      <w:pPr>
        <w:keepNext w:val="0"/>
        <w:keepLines w:val="0"/>
        <w:pageBreakBefore w:val="0"/>
        <w:kinsoku/>
        <w:wordWrap/>
        <w:overflowPunct/>
        <w:topLinePunct w:val="0"/>
        <w:autoSpaceDE/>
        <w:autoSpaceDN/>
        <w:bidi w:val="0"/>
        <w:adjustRightInd w:val="0"/>
        <w:snapToGrid w:val="0"/>
        <w:spacing w:line="600" w:lineRule="exact"/>
        <w:rPr>
          <w:rFonts w:ascii="宋体" w:cs="仿宋_GB2312"/>
          <w:color w:val="000000"/>
          <w:szCs w:val="32"/>
        </w:rPr>
      </w:pPr>
    </w:p>
    <w:p w14:paraId="7CFFC999">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第一章　总</w:t>
      </w:r>
      <w:r>
        <w:rPr>
          <w:rFonts w:ascii="黑体" w:hAnsi="黑体" w:eastAsia="黑体" w:cs="黑体"/>
          <w:color w:val="000000"/>
          <w:sz w:val="32"/>
          <w:szCs w:val="32"/>
        </w:rPr>
        <w:t xml:space="preserve">  </w:t>
      </w:r>
      <w:r>
        <w:rPr>
          <w:rFonts w:hint="eastAsia" w:ascii="黑体" w:hAnsi="黑体" w:eastAsia="黑体" w:cs="黑体"/>
          <w:color w:val="000000"/>
          <w:sz w:val="32"/>
          <w:szCs w:val="32"/>
        </w:rPr>
        <w:t>则</w:t>
      </w:r>
    </w:p>
    <w:p w14:paraId="524ACCBB">
      <w:pPr>
        <w:keepNext w:val="0"/>
        <w:keepLines w:val="0"/>
        <w:pageBreakBefore w:val="0"/>
        <w:kinsoku/>
        <w:wordWrap/>
        <w:overflowPunct/>
        <w:topLinePunct w:val="0"/>
        <w:autoSpaceDE/>
        <w:autoSpaceDN/>
        <w:bidi w:val="0"/>
        <w:adjustRightInd w:val="0"/>
        <w:snapToGrid w:val="0"/>
        <w:spacing w:line="600" w:lineRule="exact"/>
        <w:rPr>
          <w:rFonts w:ascii="宋体" w:cs="仿宋"/>
          <w:color w:val="000000"/>
          <w:szCs w:val="32"/>
        </w:rPr>
      </w:pPr>
    </w:p>
    <w:p w14:paraId="7CBBA22C">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宋体" w:cs="仿宋_GB2312"/>
          <w:color w:val="000000"/>
          <w:szCs w:val="32"/>
        </w:rPr>
      </w:pPr>
      <w:r>
        <w:rPr>
          <w:rFonts w:hint="eastAsia" w:ascii="黑体" w:hAnsi="黑体" w:eastAsia="黑体" w:cs="黑体"/>
          <w:color w:val="000000"/>
          <w:sz w:val="32"/>
          <w:szCs w:val="32"/>
        </w:rPr>
        <w:t xml:space="preserve">第一条  </w:t>
      </w:r>
      <w:r>
        <w:rPr>
          <w:rFonts w:hint="eastAsia" w:ascii="仿宋_GB2312" w:hAnsi="仿宋_GB2312" w:eastAsia="仿宋_GB2312" w:cs="仿宋_GB2312"/>
          <w:color w:val="000000"/>
          <w:sz w:val="32"/>
          <w:szCs w:val="32"/>
        </w:rPr>
        <w:t>为了加强对关山草原风景名胜区的管理，有效保护和合理利用风景名胜资源，促进关山草原风景名胜区可持续发展，根据国务院《风景名胜区条例》《陕西省风景名胜区管理条例》等法律、法规，结合本市实际，制定本办法。</w:t>
      </w:r>
    </w:p>
    <w:p w14:paraId="7263F91A">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宋体" w:cs="仿宋_GB2312"/>
          <w:color w:val="000000"/>
          <w:szCs w:val="32"/>
        </w:rPr>
      </w:pPr>
      <w:r>
        <w:rPr>
          <w:rFonts w:hint="eastAsia" w:ascii="黑体" w:hAnsi="黑体" w:eastAsia="黑体" w:cs="黑体"/>
          <w:color w:val="000000"/>
          <w:sz w:val="32"/>
          <w:szCs w:val="32"/>
        </w:rPr>
        <w:t xml:space="preserve">第二条  </w:t>
      </w:r>
      <w:r>
        <w:rPr>
          <w:rFonts w:hint="eastAsia" w:ascii="仿宋_GB2312" w:hAnsi="仿宋_GB2312" w:eastAsia="仿宋_GB2312" w:cs="仿宋_GB2312"/>
          <w:color w:val="000000"/>
          <w:sz w:val="32"/>
          <w:szCs w:val="32"/>
        </w:rPr>
        <w:t>本办法适用于关山草原风景名胜区（以下简称风景区）的规划、建设、保护、利用和管理。</w:t>
      </w:r>
    </w:p>
    <w:p w14:paraId="4792A24B">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风景区具体范围按照陕西省人民政府批准的《关山草原风景名胜区总体规划》确定。</w:t>
      </w:r>
    </w:p>
    <w:p w14:paraId="14D976EB">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楷体_GB2312" w:hAnsi="楷体_GB2312" w:eastAsia="楷体_GB2312" w:cs="楷体_GB2312"/>
          <w:color w:val="000000"/>
          <w:szCs w:val="32"/>
        </w:rPr>
      </w:pPr>
      <w:r>
        <w:rPr>
          <w:rFonts w:hint="eastAsia" w:ascii="黑体" w:hAnsi="黑体" w:eastAsia="黑体" w:cs="仿宋_GB2312"/>
          <w:color w:val="000000"/>
          <w:sz w:val="32"/>
          <w:szCs w:val="32"/>
        </w:rPr>
        <w:t xml:space="preserve">第三条 </w:t>
      </w:r>
      <w:r>
        <w:rPr>
          <w:rFonts w:hint="eastAsia" w:ascii="仿宋_GB2312" w:hAnsi="仿宋_GB2312" w:eastAsia="仿宋_GB2312" w:cs="仿宋_GB2312"/>
          <w:color w:val="000000"/>
          <w:sz w:val="32"/>
          <w:szCs w:val="32"/>
        </w:rPr>
        <w:t xml:space="preserve"> 风景区应当坚持科学规划、统一管理、严格保护、永续利用、绿色发展的原则。</w:t>
      </w:r>
    </w:p>
    <w:p w14:paraId="7B3C225F">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楷体_GB2312" w:hAnsi="楷体_GB2312" w:eastAsia="楷体_GB2312" w:cs="楷体_GB2312"/>
          <w:color w:val="000000"/>
          <w:szCs w:val="32"/>
        </w:rPr>
      </w:pPr>
      <w:r>
        <w:rPr>
          <w:rFonts w:hint="eastAsia" w:ascii="黑体" w:hAnsi="黑体" w:eastAsia="黑体" w:cs="黑体"/>
          <w:color w:val="000000"/>
          <w:sz w:val="32"/>
          <w:szCs w:val="32"/>
        </w:rPr>
        <w:t xml:space="preserve">第四条 </w:t>
      </w:r>
      <w:r>
        <w:rPr>
          <w:rFonts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陇县关山草原旅游风景区管理委员会（简称关山管委会）负责风景区的保护、利用和管理工作，履行下列职责：</w:t>
      </w:r>
    </w:p>
    <w:p w14:paraId="362104EE">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（一）宣传、贯彻执行有关风景区保护和管理的法律、法规和规章；</w:t>
      </w:r>
    </w:p>
    <w:p w14:paraId="250F3746">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（二）参与编制并组织实施风景区规划；</w:t>
      </w:r>
    </w:p>
    <w:p w14:paraId="58D3DE8B">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（三）保护风景区内历史文物、景观和自然环境，合理利用风景名胜资源；</w:t>
      </w:r>
    </w:p>
    <w:p w14:paraId="6AB97B2C">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（四）建设、维护、管理风景区基础设施和公共设施；</w:t>
      </w:r>
    </w:p>
    <w:p w14:paraId="28705784">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（五）制定并组织实施风景区管理制度，负责风景区的旅游安全、市场秩序、风景区环境和卫生管理；</w:t>
      </w:r>
    </w:p>
    <w:p w14:paraId="246A5BEB">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（六）组织研究和宣传风景区历史文物、景观的观赏、文化和科学价值；</w:t>
      </w:r>
    </w:p>
    <w:p w14:paraId="28EDB4E4">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（七）负责风景区内建设项目和有关活动的监督管理；</w:t>
      </w:r>
    </w:p>
    <w:p w14:paraId="3D344362">
      <w:pPr>
        <w:keepNext w:val="0"/>
        <w:keepLines w:val="0"/>
        <w:pageBreakBefore w:val="0"/>
        <w:kinsoku/>
        <w:wordWrap/>
        <w:overflowPunct/>
        <w:topLinePunct w:val="0"/>
        <w:autoSpaceDE/>
        <w:autoSpaceDN/>
        <w:bidi w:val="0"/>
        <w:adjustRightInd w:val="0"/>
        <w:snapToGrid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（八）市县人民政府赋予的其他职责。</w:t>
      </w:r>
    </w:p>
    <w:p w14:paraId="1874733D">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cs="仿宋_GB2312"/>
          <w:color w:val="000000"/>
          <w:szCs w:val="32"/>
        </w:rPr>
      </w:pPr>
      <w:r>
        <w:rPr>
          <w:rFonts w:hint="eastAsia" w:ascii="黑体" w:hAnsi="黑体" w:eastAsia="黑体" w:cs="黑体"/>
          <w:color w:val="000000"/>
          <w:sz w:val="32"/>
          <w:szCs w:val="32"/>
        </w:rPr>
        <w:t xml:space="preserve">第五条  </w:t>
      </w:r>
      <w:r>
        <w:rPr>
          <w:rFonts w:hint="eastAsia" w:ascii="仿宋_GB2312" w:hAnsi="仿宋_GB2312" w:eastAsia="仿宋_GB2312" w:cs="仿宋_GB2312"/>
          <w:color w:val="000000"/>
          <w:sz w:val="32"/>
          <w:szCs w:val="32"/>
        </w:rPr>
        <w:t>市人民政府各有关部门、陇县人民政府，应当依法按照各自职责，共同做好风景区保护和管理相关工作</w:t>
      </w:r>
      <w:r>
        <w:rPr>
          <w:rFonts w:hint="eastAsia" w:cs="仿宋_GB2312"/>
          <w:color w:val="000000"/>
          <w:szCs w:val="32"/>
        </w:rPr>
        <w:t>。</w:t>
      </w:r>
    </w:p>
    <w:p w14:paraId="3D13884D">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第六条  </w:t>
      </w:r>
      <w:r>
        <w:rPr>
          <w:rFonts w:hint="eastAsia" w:ascii="仿宋_GB2312" w:hAnsi="仿宋_GB2312" w:eastAsia="仿宋_GB2312" w:cs="仿宋_GB2312"/>
          <w:color w:val="000000"/>
          <w:sz w:val="32"/>
          <w:szCs w:val="32"/>
        </w:rPr>
        <w:t>关山管委会与具有执法权的相关行政管理部门应当建立执法协作配合机制，通过执法计划协调、联合执法、委托执法等方式，明确各自的具体执法事项和衔接分工与配合。</w:t>
      </w:r>
    </w:p>
    <w:p w14:paraId="645E9613">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关山管委会发现不属于本单位管辖的违法行为，有权先行制止，采取有效措施减轻或者消除影响，并及时移送有关主管部门处理，有关主管部门应当及时将处理结果通报关山管委会。</w:t>
      </w:r>
    </w:p>
    <w:p w14:paraId="78EF57F8">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第七条  </w:t>
      </w:r>
      <w:r>
        <w:rPr>
          <w:rFonts w:hint="eastAsia" w:ascii="仿宋_GB2312" w:hAnsi="仿宋_GB2312" w:eastAsia="仿宋_GB2312" w:cs="仿宋_GB2312"/>
          <w:color w:val="000000"/>
          <w:sz w:val="32"/>
          <w:szCs w:val="32"/>
        </w:rPr>
        <w:t>任何组织和个人均有权</w:t>
      </w:r>
      <w:bookmarkStart w:id="0" w:name="_Hlk174455775"/>
      <w:r>
        <w:rPr>
          <w:rFonts w:hint="eastAsia" w:ascii="仿宋_GB2312" w:hAnsi="仿宋_GB2312" w:eastAsia="仿宋_GB2312" w:cs="仿宋_GB2312"/>
          <w:color w:val="000000"/>
          <w:sz w:val="32"/>
          <w:szCs w:val="32"/>
        </w:rPr>
        <w:t>制止、检举破坏风景区资源、环境和设施的行为</w:t>
      </w:r>
      <w:bookmarkEnd w:id="0"/>
      <w:r>
        <w:rPr>
          <w:rFonts w:hint="eastAsia" w:ascii="仿宋_GB2312" w:hAnsi="仿宋_GB2312" w:eastAsia="仿宋_GB2312" w:cs="仿宋_GB2312"/>
          <w:color w:val="000000"/>
          <w:sz w:val="32"/>
          <w:szCs w:val="32"/>
        </w:rPr>
        <w:t>。</w:t>
      </w:r>
    </w:p>
    <w:p w14:paraId="4A9860FE">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关山管委会可以按照有关规定对在风景区保护中做出突出贡献的组织和个人给予表彰、奖励。</w:t>
      </w:r>
    </w:p>
    <w:p w14:paraId="4F208F80">
      <w:pPr>
        <w:keepNext w:val="0"/>
        <w:keepLines w:val="0"/>
        <w:pageBreakBefore w:val="0"/>
        <w:kinsoku/>
        <w:wordWrap/>
        <w:overflowPunct/>
        <w:topLinePunct w:val="0"/>
        <w:autoSpaceDE/>
        <w:autoSpaceDN/>
        <w:bidi w:val="0"/>
        <w:adjustRightInd w:val="0"/>
        <w:snapToGrid w:val="0"/>
        <w:spacing w:line="600" w:lineRule="exact"/>
        <w:ind w:firstLine="640"/>
        <w:rPr>
          <w:rFonts w:ascii="宋体" w:cs="仿宋_GB2312"/>
          <w:color w:val="000000"/>
          <w:szCs w:val="32"/>
        </w:rPr>
      </w:pPr>
    </w:p>
    <w:p w14:paraId="34CF8F12">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第二章　规划与建设</w:t>
      </w:r>
    </w:p>
    <w:p w14:paraId="02F7E5F8">
      <w:pPr>
        <w:keepNext w:val="0"/>
        <w:keepLines w:val="0"/>
        <w:pageBreakBefore w:val="0"/>
        <w:kinsoku/>
        <w:wordWrap/>
        <w:overflowPunct/>
        <w:topLinePunct w:val="0"/>
        <w:autoSpaceDE/>
        <w:autoSpaceDN/>
        <w:bidi w:val="0"/>
        <w:adjustRightInd w:val="0"/>
        <w:snapToGrid w:val="0"/>
        <w:spacing w:line="600" w:lineRule="exact"/>
        <w:ind w:firstLine="640" w:firstLineChars="200"/>
        <w:jc w:val="left"/>
        <w:rPr>
          <w:rFonts w:ascii="仿宋_GB2312" w:hAnsi="仿宋_GB2312" w:eastAsia="仿宋_GB2312" w:cs="仿宋_GB2312"/>
          <w:color w:val="000000"/>
          <w:sz w:val="32"/>
          <w:szCs w:val="32"/>
        </w:rPr>
      </w:pPr>
    </w:p>
    <w:p w14:paraId="7C54CCE0">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第八条</w:t>
      </w:r>
      <w:r>
        <w:rPr>
          <w:rFonts w:ascii="黑体" w:hAnsi="黑体" w:eastAsia="黑体" w:cs="黑体"/>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陇县人民政府应当组织编制关山草原风景名胜区总体规划和详细规划，按照有关规定报经批准后执行。</w:t>
      </w:r>
    </w:p>
    <w:p w14:paraId="48DCB5FD">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第九条  </w:t>
      </w:r>
      <w:r>
        <w:rPr>
          <w:rFonts w:hint="eastAsia" w:ascii="仿宋_GB2312" w:hAnsi="仿宋_GB2312" w:eastAsia="仿宋_GB2312" w:cs="仿宋_GB2312"/>
          <w:color w:val="000000"/>
          <w:sz w:val="32"/>
          <w:szCs w:val="32"/>
        </w:rPr>
        <w:t>风景区建设应当符合总体规划和详细规划中确定的功能分区和规划布局，避免重复建设。风景名胜区内建设项目的布局、高度、体量、造型、风格、色调等应当与生态环境、周围景观相协调。</w:t>
      </w:r>
    </w:p>
    <w:p w14:paraId="75F2375F">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第十条  </w:t>
      </w:r>
      <w:r>
        <w:rPr>
          <w:rFonts w:hint="eastAsia" w:ascii="仿宋_GB2312" w:hAnsi="仿宋_GB2312" w:eastAsia="仿宋_GB2312" w:cs="仿宋_GB2312"/>
          <w:color w:val="000000"/>
          <w:sz w:val="32"/>
          <w:szCs w:val="32"/>
        </w:rPr>
        <w:t>经批准的风景区规划不得擅自修改，确需对风景区总体规划中的风景区范围、性质、保护目标、生态资源保护措施、重大建设项目布局、开发利用强度以及风景区的功能结构、空间布局、游客容量进行修改的，应当报原审批机关批准；对其他内容进行修改的，应当报原审批机关备案。</w:t>
      </w:r>
    </w:p>
    <w:p w14:paraId="759D3445">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风景区详细规划确需修改的，应当报原审批机关批准。</w:t>
      </w:r>
    </w:p>
    <w:p w14:paraId="655BA906">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第十一条  </w:t>
      </w:r>
      <w:r>
        <w:rPr>
          <w:rFonts w:hint="eastAsia" w:ascii="Times New Roman" w:hAnsi="Times New Roman" w:eastAsia="仿宋_GB2312" w:cs="Times New Roman"/>
          <w:color w:val="000000"/>
          <w:sz w:val="32"/>
          <w:szCs w:val="32"/>
        </w:rPr>
        <w:t>在风景名胜区内从事</w:t>
      </w:r>
      <w:r>
        <w:rPr>
          <w:rFonts w:hint="eastAsia" w:ascii="仿宋_GB2312" w:hAnsi="仿宋_GB2312" w:eastAsia="仿宋_GB2312" w:cs="仿宋_GB2312"/>
          <w:color w:val="000000"/>
          <w:sz w:val="32"/>
          <w:szCs w:val="32"/>
        </w:rPr>
        <w:t>国务院《风景名胜区条例》</w:t>
      </w:r>
      <w:r>
        <w:rPr>
          <w:rFonts w:hint="eastAsia" w:ascii="Times New Roman" w:hAnsi="Times New Roman" w:eastAsia="仿宋_GB2312" w:cs="Times New Roman"/>
          <w:color w:val="000000"/>
          <w:sz w:val="32"/>
          <w:szCs w:val="32"/>
        </w:rPr>
        <w:t>第二十六条、第二十七条禁止范围以外的建设活动，</w:t>
      </w:r>
      <w:r>
        <w:rPr>
          <w:rFonts w:hint="eastAsia" w:ascii="仿宋_GB2312" w:hAnsi="仿宋_GB2312" w:eastAsia="仿宋_GB2312" w:cs="仿宋_GB2312"/>
          <w:color w:val="000000"/>
          <w:sz w:val="32"/>
          <w:szCs w:val="32"/>
        </w:rPr>
        <w:t>应当经关山管委会审核后，依照有关法律、法规的规定办理审批手续。</w:t>
      </w:r>
    </w:p>
    <w:p w14:paraId="73A928C5">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第十二条  </w:t>
      </w:r>
      <w:r>
        <w:rPr>
          <w:rFonts w:hint="eastAsia" w:ascii="仿宋_GB2312" w:hAnsi="仿宋_GB2312" w:eastAsia="仿宋_GB2312" w:cs="仿宋_GB2312"/>
          <w:color w:val="000000"/>
          <w:sz w:val="32"/>
          <w:szCs w:val="32"/>
        </w:rPr>
        <w:t>建设单位、施工单位在风景区内进行建设活动时，应当</w:t>
      </w:r>
      <w:r>
        <w:rPr>
          <w:rFonts w:hint="eastAsia" w:eastAsia="仿宋_GB2312"/>
          <w:color w:val="000000"/>
          <w:sz w:val="32"/>
          <w:szCs w:val="32"/>
        </w:rPr>
        <w:t>制定污染防治和水土保持方案，并</w:t>
      </w:r>
      <w:r>
        <w:rPr>
          <w:rFonts w:hint="eastAsia" w:ascii="仿宋_GB2312" w:hAnsi="仿宋_GB2312" w:eastAsia="仿宋_GB2312" w:cs="仿宋_GB2312"/>
          <w:color w:val="000000"/>
          <w:sz w:val="32"/>
          <w:szCs w:val="32"/>
        </w:rPr>
        <w:t>采取有效措施，保护施工场地周围的文物、景物、植被、水体和地貌；工程竣工后，应当及时清理施工现场，恢复植被。</w:t>
      </w:r>
    </w:p>
    <w:p w14:paraId="739397F9">
      <w:pPr>
        <w:keepNext w:val="0"/>
        <w:keepLines w:val="0"/>
        <w:pageBreakBefore w:val="0"/>
        <w:kinsoku/>
        <w:wordWrap/>
        <w:overflowPunct/>
        <w:topLinePunct w:val="0"/>
        <w:autoSpaceDE/>
        <w:autoSpaceDN/>
        <w:bidi w:val="0"/>
        <w:adjustRightInd w:val="0"/>
        <w:snapToGrid w:val="0"/>
        <w:spacing w:line="600" w:lineRule="exact"/>
        <w:jc w:val="center"/>
        <w:rPr>
          <w:rFonts w:ascii="宋体" w:cs="黑体"/>
          <w:color w:val="000000"/>
          <w:szCs w:val="32"/>
        </w:rPr>
      </w:pPr>
    </w:p>
    <w:p w14:paraId="095CCD8A">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第三章　保</w:t>
      </w:r>
      <w:r>
        <w:rPr>
          <w:rFonts w:hint="eastAsia" w:ascii="黑体" w:hAnsi="黑体" w:eastAsia="黑体" w:cs="黑体"/>
          <w:color w:val="000000"/>
          <w:sz w:val="32"/>
          <w:szCs w:val="32"/>
          <w:lang w:val="en-US" w:eastAsia="zh-CN"/>
        </w:rPr>
        <w:t xml:space="preserve">  </w:t>
      </w:r>
      <w:r>
        <w:rPr>
          <w:rFonts w:hint="eastAsia" w:ascii="黑体" w:hAnsi="黑体" w:eastAsia="黑体" w:cs="黑体"/>
          <w:color w:val="000000"/>
          <w:sz w:val="32"/>
          <w:szCs w:val="32"/>
        </w:rPr>
        <w:t>护</w:t>
      </w:r>
    </w:p>
    <w:p w14:paraId="10BEDE02">
      <w:pPr>
        <w:keepNext w:val="0"/>
        <w:keepLines w:val="0"/>
        <w:pageBreakBefore w:val="0"/>
        <w:kinsoku/>
        <w:wordWrap/>
        <w:overflowPunct/>
        <w:topLinePunct w:val="0"/>
        <w:autoSpaceDE/>
        <w:autoSpaceDN/>
        <w:bidi w:val="0"/>
        <w:adjustRightInd w:val="0"/>
        <w:snapToGrid w:val="0"/>
        <w:spacing w:line="600" w:lineRule="exact"/>
        <w:rPr>
          <w:rFonts w:ascii="宋体" w:cs="仿宋_GB2312"/>
          <w:color w:val="000000"/>
          <w:szCs w:val="32"/>
        </w:rPr>
      </w:pPr>
    </w:p>
    <w:p w14:paraId="0C3AE352">
      <w:pPr>
        <w:keepNext w:val="0"/>
        <w:keepLines w:val="0"/>
        <w:pageBreakBefore w:val="0"/>
        <w:kinsoku/>
        <w:wordWrap/>
        <w:overflowPunct/>
        <w:topLinePunct w:val="0"/>
        <w:autoSpaceDE/>
        <w:autoSpaceDN/>
        <w:bidi w:val="0"/>
        <w:adjustRightInd w:val="0"/>
        <w:snapToGrid w:val="0"/>
        <w:spacing w:line="600" w:lineRule="exact"/>
        <w:ind w:firstLine="640" w:firstLineChars="200"/>
        <w:jc w:val="left"/>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第十三条  </w:t>
      </w:r>
      <w:r>
        <w:rPr>
          <w:rFonts w:hint="eastAsia" w:ascii="仿宋_GB2312" w:hAnsi="仿宋_GB2312" w:eastAsia="仿宋_GB2312" w:cs="仿宋_GB2312"/>
          <w:color w:val="000000"/>
          <w:sz w:val="32"/>
          <w:szCs w:val="32"/>
        </w:rPr>
        <w:t>风景区内实行封山禁牧，禁止放养食草牲畜。</w:t>
      </w:r>
    </w:p>
    <w:p w14:paraId="21B52883">
      <w:pPr>
        <w:keepNext w:val="0"/>
        <w:keepLines w:val="0"/>
        <w:pageBreakBefore w:val="0"/>
        <w:kinsoku/>
        <w:wordWrap/>
        <w:overflowPunct/>
        <w:topLinePunct w:val="0"/>
        <w:autoSpaceDE/>
        <w:autoSpaceDN/>
        <w:bidi w:val="0"/>
        <w:adjustRightInd w:val="0"/>
        <w:snapToGrid w:val="0"/>
        <w:spacing w:line="600" w:lineRule="exact"/>
        <w:ind w:firstLine="640" w:firstLineChars="200"/>
        <w:jc w:val="left"/>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第十四条</w:t>
      </w:r>
      <w:r>
        <w:rPr>
          <w:rFonts w:ascii="楷体_GB2312" w:hAnsi="楷体_GB2312" w:eastAsia="楷体_GB2312" w:cs="楷体_GB2312"/>
          <w:color w:val="000000"/>
          <w:sz w:val="32"/>
          <w:szCs w:val="32"/>
        </w:rPr>
        <w:t xml:space="preserve">  </w:t>
      </w:r>
      <w:r>
        <w:rPr>
          <w:rFonts w:hint="eastAsia" w:ascii="楷体_GB2312" w:hAnsi="楷体_GB2312" w:eastAsia="楷体_GB2312" w:cs="楷体_GB2312"/>
          <w:color w:val="000000"/>
          <w:sz w:val="32"/>
          <w:szCs w:val="32"/>
        </w:rPr>
        <w:t>关</w:t>
      </w:r>
      <w:r>
        <w:rPr>
          <w:rFonts w:hint="eastAsia" w:ascii="仿宋_GB2312" w:hAnsi="仿宋_GB2312" w:eastAsia="仿宋_GB2312" w:cs="仿宋_GB2312"/>
          <w:color w:val="000000"/>
          <w:sz w:val="32"/>
          <w:szCs w:val="32"/>
        </w:rPr>
        <w:t>山管委会应当会同文物、林业、自然资源、生态环境等有关部门做好风景区内文物保护、植被保护、生物多样性保护、环境保护以及森林防火、有害生物防治、地质灾害防治等工作。</w:t>
      </w:r>
    </w:p>
    <w:p w14:paraId="7A0929DA">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第十五条</w:t>
      </w:r>
      <w:r>
        <w:rPr>
          <w:rFonts w:ascii="黑体" w:hAnsi="黑体" w:eastAsia="黑体" w:cs="黑体"/>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风景区实行全年森林草原防火。景区内组织和个人均应当依照有关法律、法规的规定做好森林草原防火工作。</w:t>
      </w:r>
    </w:p>
    <w:p w14:paraId="3E75B675">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黑体" w:hAnsi="黑体" w:eastAsia="黑体" w:cs="黑体"/>
          <w:color w:val="000000"/>
          <w:kern w:val="2"/>
          <w:sz w:val="32"/>
          <w:szCs w:val="32"/>
        </w:rPr>
        <w:t xml:space="preserve">第十六条  </w:t>
      </w:r>
      <w:r>
        <w:rPr>
          <w:rFonts w:hint="eastAsia" w:ascii="仿宋_GB2312" w:hAnsi="仿宋_GB2312" w:eastAsia="仿宋_GB2312" w:cs="仿宋_GB2312"/>
          <w:color w:val="000000"/>
          <w:kern w:val="2"/>
          <w:sz w:val="32"/>
          <w:szCs w:val="32"/>
        </w:rPr>
        <w:t>在风景区内从事各种活动的单位和个人，应当遵守风景区管理规定，保护风景名胜资源和公共设施，自觉维护景区内的环境卫生和公共秩序，禁止下列行为：</w:t>
      </w:r>
    </w:p>
    <w:p w14:paraId="0B770FA7">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（一）乱扔废弃物，攀折林木花草，在景物和公共设施上刻画、涂写；</w:t>
      </w:r>
    </w:p>
    <w:p w14:paraId="6E71D5C4">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（二）在非指定区域吸烟、用火、取土；</w:t>
      </w:r>
    </w:p>
    <w:p w14:paraId="1188F2EC">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（三）占道经营，圈占景点收费；</w:t>
      </w:r>
    </w:p>
    <w:p w14:paraId="29ADDED2">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（四）开山、采矿、采石、挖沙、开荒、填堵自然水系等破坏景观、植被、地形、地貌和水体的活动；</w:t>
      </w:r>
    </w:p>
    <w:p w14:paraId="25C7ACA5">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（五）修坟立碑、砍伐古树名木、狩猎或者捕捉野生动物；</w:t>
      </w:r>
    </w:p>
    <w:p w14:paraId="4CF97595">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（六）修建储存爆炸性、易燃性、放射性、毒害性、腐蚀性物品的设施；</w:t>
      </w:r>
    </w:p>
    <w:p w14:paraId="0AF7E4B4">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（七）损害风景名胜资源的其他行为。</w:t>
      </w:r>
    </w:p>
    <w:p w14:paraId="18A89F1C">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jc w:val="both"/>
        <w:textAlignment w:val="baseline"/>
        <w:rPr>
          <w:rFonts w:ascii="仿宋_GB2312" w:hAnsi="仿宋_GB2312" w:eastAsia="仿宋_GB2312" w:cs="仿宋_GB2312"/>
          <w:color w:val="000000"/>
          <w:kern w:val="2"/>
          <w:sz w:val="32"/>
          <w:szCs w:val="32"/>
        </w:rPr>
      </w:pPr>
    </w:p>
    <w:p w14:paraId="2754CE7F">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第四章  管</w:t>
      </w:r>
      <w:r>
        <w:rPr>
          <w:rFonts w:hint="eastAsia" w:ascii="黑体" w:hAnsi="黑体" w:eastAsia="黑体" w:cs="黑体"/>
          <w:color w:val="000000"/>
          <w:sz w:val="32"/>
          <w:szCs w:val="32"/>
          <w:lang w:val="en-US" w:eastAsia="zh-CN"/>
        </w:rPr>
        <w:t xml:space="preserve">  </w:t>
      </w:r>
      <w:r>
        <w:rPr>
          <w:rFonts w:hint="eastAsia" w:ascii="黑体" w:hAnsi="黑体" w:eastAsia="黑体" w:cs="黑体"/>
          <w:color w:val="000000"/>
          <w:sz w:val="32"/>
          <w:szCs w:val="32"/>
        </w:rPr>
        <w:t>理</w:t>
      </w:r>
    </w:p>
    <w:p w14:paraId="6EFAE4FA">
      <w:pPr>
        <w:keepNext w:val="0"/>
        <w:keepLines w:val="0"/>
        <w:pageBreakBefore w:val="0"/>
        <w:kinsoku/>
        <w:wordWrap/>
        <w:overflowPunct/>
        <w:topLinePunct w:val="0"/>
        <w:autoSpaceDE/>
        <w:autoSpaceDN/>
        <w:bidi w:val="0"/>
        <w:adjustRightInd w:val="0"/>
        <w:snapToGrid w:val="0"/>
        <w:spacing w:line="600" w:lineRule="exact"/>
        <w:rPr>
          <w:rFonts w:ascii="宋体" w:cs="黑体"/>
          <w:color w:val="000000"/>
          <w:szCs w:val="32"/>
        </w:rPr>
      </w:pPr>
    </w:p>
    <w:p w14:paraId="41F0C8F6">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黑体" w:hAnsi="黑体" w:eastAsia="黑体" w:cs="黑体"/>
          <w:color w:val="000000"/>
          <w:kern w:val="2"/>
          <w:sz w:val="32"/>
          <w:szCs w:val="32"/>
        </w:rPr>
        <w:t xml:space="preserve">第十七条 </w:t>
      </w:r>
      <w:r>
        <w:rPr>
          <w:rFonts w:ascii="黑体" w:hAnsi="黑体" w:eastAsia="黑体" w:cs="黑体"/>
          <w:color w:val="000000"/>
          <w:kern w:val="2"/>
          <w:sz w:val="32"/>
          <w:szCs w:val="32"/>
        </w:rPr>
        <w:t xml:space="preserve"> </w:t>
      </w:r>
      <w:r>
        <w:rPr>
          <w:rFonts w:hint="eastAsia" w:ascii="仿宋_GB2312" w:hAnsi="仿宋_GB2312" w:eastAsia="仿宋_GB2312" w:cs="仿宋_GB2312"/>
          <w:color w:val="000000"/>
          <w:kern w:val="2"/>
          <w:sz w:val="32"/>
          <w:szCs w:val="32"/>
        </w:rPr>
        <w:t>关山管委会应当科学管理和合理利用风景名胜资源，建立风景区管理制度，维护风景区公共秩序。</w:t>
      </w:r>
    </w:p>
    <w:p w14:paraId="58052BCE">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cs="仿宋_GB2312"/>
          <w:color w:val="000000"/>
          <w:szCs w:val="32"/>
        </w:rPr>
      </w:pPr>
      <w:r>
        <w:rPr>
          <w:rFonts w:hint="eastAsia" w:ascii="黑体" w:hAnsi="黑体" w:eastAsia="黑体" w:cs="黑体"/>
          <w:color w:val="000000"/>
          <w:sz w:val="32"/>
          <w:szCs w:val="32"/>
        </w:rPr>
        <w:t>第十八条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关山管委会应当建立安全保障制度，制定和完善突发事件应急预案，健全自然灾害、事故灾难、公共卫生事件和社会安全事件应急防范措施，并组织开展重点安全检查，排除安全隐患。</w:t>
      </w:r>
    </w:p>
    <w:p w14:paraId="366CEBB1">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市、县人民政府文化和旅游、市场监管、住房和城乡建设、林业、应急管理和消防等部门应按各自职责，做好风景区旅游、特种设备、食品、燃气、消防等专业安全领域的隐患排查和整治工作。</w:t>
      </w:r>
    </w:p>
    <w:p w14:paraId="521E4BE0">
      <w:pPr>
        <w:pStyle w:val="9"/>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风景区内从事旅游服务的经营者应当承担旅游安全的主体责任，加强安全管理，建立、健全安全管理制度，关注安全风险预警和提示，妥善应对旅游突发事件。旅游从业人员应当严格遵守本单位的安全管理制度，接受安全生产教育和培训，增强旅游突发事件防范和应急处理能力。</w:t>
      </w:r>
    </w:p>
    <w:p w14:paraId="71D618FE">
      <w:pPr>
        <w:pStyle w:val="2"/>
        <w:keepNext w:val="0"/>
        <w:keepLines w:val="0"/>
        <w:pageBreakBefore w:val="0"/>
        <w:shd w:val="clear" w:color="auto" w:fill="FFFFFF"/>
        <w:kinsoku/>
        <w:wordWrap/>
        <w:overflowPunct/>
        <w:topLinePunct w:val="0"/>
        <w:autoSpaceDE/>
        <w:autoSpaceDN/>
        <w:bidi w:val="0"/>
        <w:adjustRightInd w:val="0"/>
        <w:snapToGrid w:val="0"/>
        <w:spacing w:before="0" w:after="0" w:line="600" w:lineRule="exact"/>
        <w:ind w:firstLine="640" w:firstLineChars="200"/>
        <w:rPr>
          <w:rFonts w:ascii="仿宋_GB2312" w:hAnsi="仿宋_GB2312" w:eastAsia="仿宋_GB2312" w:cs="仿宋_GB2312"/>
          <w:b w:val="0"/>
          <w:bCs w:val="0"/>
          <w:color w:val="000000"/>
        </w:rPr>
      </w:pPr>
      <w:r>
        <w:rPr>
          <w:rFonts w:hint="eastAsia" w:ascii="黑体" w:hAnsi="黑体" w:cs="黑体"/>
          <w:b w:val="0"/>
          <w:bCs w:val="0"/>
          <w:color w:val="000000"/>
        </w:rPr>
        <w:t>第十九条</w:t>
      </w:r>
      <w:r>
        <w:rPr>
          <w:rFonts w:ascii="黑体" w:hAnsi="黑体" w:cs="黑体"/>
          <w:b w:val="0"/>
          <w:bCs w:val="0"/>
          <w:color w:val="000000"/>
        </w:rPr>
        <w:t xml:space="preserve"> </w:t>
      </w:r>
      <w:r>
        <w:rPr>
          <w:rFonts w:hint="eastAsia" w:ascii="黑体" w:hAnsi="黑体" w:cs="黑体"/>
          <w:b w:val="0"/>
          <w:bCs w:val="0"/>
          <w:color w:val="000000"/>
        </w:rPr>
        <w:t xml:space="preserve"> </w:t>
      </w:r>
      <w:r>
        <w:rPr>
          <w:rFonts w:hint="eastAsia" w:ascii="仿宋_GB2312" w:hAnsi="仿宋_GB2312" w:eastAsia="仿宋_GB2312" w:cs="仿宋_GB2312"/>
          <w:b w:val="0"/>
          <w:bCs w:val="0"/>
          <w:color w:val="000000"/>
        </w:rPr>
        <w:t>关山管委会应当根据规划，改善风景区交通、服务设施和游览条件，做好游客疏导工作，保障游览安全。旅游旺季时，公安交警部门应当强化警力配置，协助风景区做好交通管控和应急救援工作。</w:t>
      </w:r>
    </w:p>
    <w:p w14:paraId="09774A2F">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宋体" w:cs="仿宋_GB2312"/>
          <w:color w:val="000000"/>
          <w:szCs w:val="32"/>
        </w:rPr>
      </w:pPr>
      <w:r>
        <w:rPr>
          <w:rFonts w:hint="eastAsia" w:ascii="黑体" w:hAnsi="黑体" w:eastAsia="黑体" w:cs="黑体"/>
          <w:color w:val="000000"/>
          <w:sz w:val="32"/>
          <w:szCs w:val="32"/>
        </w:rPr>
        <w:t>第二十条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关山管委会应配合有关部门加强对风景区内商品和服务价格的监督检查，经营者应当按照相关规定明码标价。</w:t>
      </w:r>
    </w:p>
    <w:p w14:paraId="6B8FD414">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第二十一条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风景名胜资源实行有偿使用。依托风景名胜区从事经营活动的单位和个人，应当向风景名胜区管理机构交纳风景名胜资源有偿使用费。</w:t>
      </w:r>
    </w:p>
    <w:p w14:paraId="2B2C8DA7">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第二十二条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风景区内的交通、服务等项目，应当由关山管委会依照有关法律、法规和风景区规划，采用招标等公平竞争的方式确定经营者。</w:t>
      </w:r>
    </w:p>
    <w:p w14:paraId="22233E7C">
      <w:pPr>
        <w:keepNext w:val="0"/>
        <w:keepLines w:val="0"/>
        <w:pageBreakBefore w:val="0"/>
        <w:kinsoku/>
        <w:wordWrap/>
        <w:overflowPunct/>
        <w:topLinePunct w:val="0"/>
        <w:autoSpaceDE/>
        <w:autoSpaceDN/>
        <w:bidi w:val="0"/>
        <w:adjustRightInd w:val="0"/>
        <w:snapToGrid w:val="0"/>
        <w:spacing w:line="600" w:lineRule="exact"/>
        <w:ind w:firstLine="616" w:firstLineChars="200"/>
        <w:rPr>
          <w:rFonts w:ascii="仿宋_GB2312" w:eastAsia="仿宋_GB2312" w:cs="仿宋_GB2312"/>
          <w:snapToGrid w:val="0"/>
          <w:color w:val="000000"/>
          <w:spacing w:val="-6"/>
          <w:kern w:val="0"/>
          <w:sz w:val="32"/>
          <w:szCs w:val="32"/>
        </w:rPr>
      </w:pPr>
      <w:r>
        <w:rPr>
          <w:rFonts w:hint="eastAsia" w:ascii="仿宋_GB2312" w:hAnsi="仿宋_GB2312" w:eastAsia="仿宋_GB2312" w:cs="仿宋_GB2312"/>
          <w:snapToGrid w:val="0"/>
          <w:color w:val="000000"/>
          <w:spacing w:val="-6"/>
          <w:kern w:val="0"/>
          <w:sz w:val="32"/>
          <w:szCs w:val="32"/>
        </w:rPr>
        <w:t>风景区内从事经营服务的组织和个人，在依法办理有关手续后，方可从事经营活动，同时应当遵守风景区管理规定，保护风景名胜资源和公共设施，自觉维护景区内的环境卫生和公共秩序。</w:t>
      </w:r>
    </w:p>
    <w:p w14:paraId="412743FA">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黑体" w:hAnsi="黑体" w:eastAsia="黑体" w:cs="黑体"/>
          <w:color w:val="000000"/>
          <w:kern w:val="2"/>
          <w:sz w:val="32"/>
          <w:szCs w:val="32"/>
        </w:rPr>
        <w:t xml:space="preserve">第二十三条 </w:t>
      </w:r>
      <w:r>
        <w:rPr>
          <w:rFonts w:ascii="黑体" w:hAnsi="黑体" w:eastAsia="黑体" w:cs="黑体"/>
          <w:color w:val="000000"/>
          <w:kern w:val="2"/>
          <w:sz w:val="32"/>
          <w:szCs w:val="32"/>
        </w:rPr>
        <w:t xml:space="preserve"> </w:t>
      </w:r>
      <w:r>
        <w:rPr>
          <w:rFonts w:hint="eastAsia" w:ascii="仿宋_GB2312" w:hAnsi="仿宋_GB2312" w:eastAsia="仿宋_GB2312" w:cs="仿宋_GB2312"/>
          <w:color w:val="000000"/>
          <w:kern w:val="2"/>
          <w:sz w:val="32"/>
          <w:szCs w:val="32"/>
        </w:rPr>
        <w:t>在风景名胜区内进行下列活动，应当经关山管委会审核后，依照法律、法规的规定报有关主管部门批准：</w:t>
      </w:r>
    </w:p>
    <w:p w14:paraId="41EC3415">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（一）摆摊设点和从事餐饮、旅游、运输经营活动；</w:t>
      </w:r>
    </w:p>
    <w:p w14:paraId="6AC335B3">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（二）设置、张贴商业广告；</w:t>
      </w:r>
    </w:p>
    <w:p w14:paraId="114E5F86">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（三）运入未经检疫的动植物或者引入新的物种；</w:t>
      </w:r>
    </w:p>
    <w:p w14:paraId="1DD628F5">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snapToGrid w:val="0"/>
          <w:color w:val="000000"/>
          <w:spacing w:val="-6"/>
          <w:sz w:val="32"/>
          <w:szCs w:val="32"/>
        </w:rPr>
      </w:pPr>
      <w:r>
        <w:rPr>
          <w:rFonts w:hint="eastAsia" w:ascii="仿宋_GB2312" w:hAnsi="仿宋_GB2312" w:eastAsia="仿宋_GB2312" w:cs="仿宋_GB2312"/>
          <w:color w:val="000000"/>
          <w:kern w:val="2"/>
          <w:sz w:val="32"/>
          <w:szCs w:val="32"/>
        </w:rPr>
        <w:t>（四）</w:t>
      </w:r>
      <w:r>
        <w:rPr>
          <w:rFonts w:hint="eastAsia" w:ascii="仿宋_GB2312" w:hAnsi="仿宋_GB2312" w:eastAsia="仿宋_GB2312" w:cs="仿宋_GB2312"/>
          <w:snapToGrid w:val="0"/>
          <w:color w:val="000000"/>
          <w:spacing w:val="-6"/>
          <w:sz w:val="32"/>
          <w:szCs w:val="32"/>
        </w:rPr>
        <w:t>采伐林木、采集物种标本、野生药材和其他林副产品；</w:t>
      </w:r>
    </w:p>
    <w:p w14:paraId="3ED46F42">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（五）举办大型游乐、演出活动或者拍摄影视剧；</w:t>
      </w:r>
    </w:p>
    <w:p w14:paraId="608E6349">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（六）改变水资源、水环境自然状态的活动；</w:t>
      </w:r>
    </w:p>
    <w:p w14:paraId="1BAE7636">
      <w:pPr>
        <w:pStyle w:val="9"/>
        <w:keepNext w:val="0"/>
        <w:keepLines w:val="0"/>
        <w:pageBreakBefore w:val="0"/>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baseline"/>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（七）其他可能影响生态和景观的活动。</w:t>
      </w:r>
    </w:p>
    <w:p w14:paraId="15EB58F3">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第二十四条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陇县人民政府应当指导风景区所在镇及相关部门按照有关规定依法做好风景区内农家乐、民宿的经营管理。</w:t>
      </w:r>
    </w:p>
    <w:p w14:paraId="4850ADEB">
      <w:pPr>
        <w:keepNext w:val="0"/>
        <w:keepLines w:val="0"/>
        <w:pageBreakBefore w:val="0"/>
        <w:kinsoku/>
        <w:wordWrap/>
        <w:overflowPunct/>
        <w:topLinePunct w:val="0"/>
        <w:autoSpaceDE/>
        <w:autoSpaceDN/>
        <w:bidi w:val="0"/>
        <w:adjustRightInd w:val="0"/>
        <w:snapToGrid w:val="0"/>
        <w:spacing w:line="600" w:lineRule="exact"/>
        <w:ind w:firstLine="640" w:firstLineChars="200"/>
        <w:rPr>
          <w:rFonts w:ascii="宋体" w:cs="仿宋_GB2312"/>
          <w:color w:val="000000"/>
          <w:szCs w:val="32"/>
        </w:rPr>
      </w:pPr>
      <w:r>
        <w:rPr>
          <w:rFonts w:hint="eastAsia" w:ascii="黑体" w:hAnsi="黑体" w:eastAsia="黑体" w:cs="黑体"/>
          <w:color w:val="000000"/>
          <w:sz w:val="32"/>
          <w:szCs w:val="32"/>
        </w:rPr>
        <w:t xml:space="preserve">第二十五条 </w:t>
      </w:r>
      <w:r>
        <w:rPr>
          <w:rFonts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关山管委会应当加强风景区环境卫生管理，建设完善生活垃圾收集、清运，生活污水处理等设施，改善风景区环境卫生条件。</w:t>
      </w:r>
    </w:p>
    <w:p w14:paraId="2AA30227">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第二十六条 </w:t>
      </w:r>
      <w:r>
        <w:rPr>
          <w:rFonts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关山管委会应当加强风景区管理人员的教育和培训，提高其业务素质和管理水平。</w:t>
      </w:r>
    </w:p>
    <w:p w14:paraId="01D0297E">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第二十七条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关山管委会应当加强对经营者经营活动的监督检查，依法建立经营者信用档案，对经营者的基本情况、服务业绩、信用程度以及游客对经营者的投诉核实后记录在册，并依法予以披露。</w:t>
      </w:r>
    </w:p>
    <w:p w14:paraId="4BB0EA2C">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p>
    <w:p w14:paraId="79709CF6">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 xml:space="preserve">第五章 </w:t>
      </w:r>
      <w:r>
        <w:rPr>
          <w:rFonts w:ascii="黑体" w:hAnsi="黑体" w:eastAsia="黑体" w:cs="黑体"/>
          <w:color w:val="000000"/>
          <w:sz w:val="32"/>
          <w:szCs w:val="32"/>
        </w:rPr>
        <w:t xml:space="preserve"> </w:t>
      </w:r>
      <w:r>
        <w:rPr>
          <w:rFonts w:hint="eastAsia" w:ascii="黑体" w:hAnsi="黑体" w:eastAsia="黑体" w:cs="黑体"/>
          <w:color w:val="000000"/>
          <w:sz w:val="32"/>
          <w:szCs w:val="32"/>
        </w:rPr>
        <w:t>法律责任</w:t>
      </w:r>
    </w:p>
    <w:p w14:paraId="7ECDD060">
      <w:pPr>
        <w:pStyle w:val="5"/>
        <w:keepNext w:val="0"/>
        <w:keepLines w:val="0"/>
        <w:pageBreakBefore w:val="0"/>
        <w:kinsoku/>
        <w:wordWrap/>
        <w:overflowPunct/>
        <w:topLinePunct w:val="0"/>
        <w:autoSpaceDE/>
        <w:autoSpaceDN/>
        <w:bidi w:val="0"/>
        <w:adjustRightInd w:val="0"/>
        <w:snapToGrid w:val="0"/>
        <w:spacing w:line="600" w:lineRule="exact"/>
        <w:rPr>
          <w:rFonts w:cs="仿宋_GB2312"/>
          <w:color w:val="000000"/>
          <w:szCs w:val="32"/>
        </w:rPr>
      </w:pPr>
    </w:p>
    <w:p w14:paraId="5EB1A38B">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snapToGrid w:val="0"/>
          <w:color w:val="000000"/>
          <w:spacing w:val="-4"/>
          <w:kern w:val="0"/>
          <w:sz w:val="32"/>
          <w:szCs w:val="32"/>
        </w:rPr>
      </w:pPr>
      <w:r>
        <w:rPr>
          <w:rFonts w:hint="eastAsia" w:ascii="黑体" w:hAnsi="黑体" w:eastAsia="黑体" w:cs="黑体"/>
          <w:color w:val="000000"/>
          <w:sz w:val="32"/>
          <w:szCs w:val="32"/>
        </w:rPr>
        <w:t xml:space="preserve">第二十八条  </w:t>
      </w:r>
      <w:r>
        <w:rPr>
          <w:rFonts w:hint="eastAsia" w:ascii="仿宋_GB2312" w:hAnsi="仿宋_GB2312" w:eastAsia="仿宋_GB2312" w:cs="仿宋_GB2312"/>
          <w:snapToGrid w:val="0"/>
          <w:color w:val="000000"/>
          <w:spacing w:val="-4"/>
          <w:kern w:val="0"/>
          <w:sz w:val="32"/>
          <w:szCs w:val="32"/>
        </w:rPr>
        <w:t>违反本办法，在封山禁牧区域内放养牛、羊等食草牲畜的，由县林业主管部门依法委托关山管委会进行处罚。</w:t>
      </w:r>
    </w:p>
    <w:p w14:paraId="07F4AA85">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第二十九条  </w:t>
      </w:r>
      <w:r>
        <w:rPr>
          <w:rFonts w:hint="eastAsia" w:ascii="仿宋_GB2312" w:hAnsi="仿宋_GB2312" w:eastAsia="仿宋_GB2312" w:cs="仿宋_GB2312"/>
          <w:color w:val="000000"/>
          <w:sz w:val="32"/>
          <w:szCs w:val="32"/>
        </w:rPr>
        <w:t>违反本办法第十一条规定，在风景区内从事禁止范围以外的建设活动，未经关山管委会审核的，由关山管委会责令停止建设、限期拆除，并对个人和单位依法进行处罚。</w:t>
      </w:r>
    </w:p>
    <w:p w14:paraId="1369B4E3">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第三十条  </w:t>
      </w:r>
      <w:r>
        <w:rPr>
          <w:rFonts w:hint="eastAsia" w:ascii="仿宋_GB2312" w:hAnsi="仿宋_GB2312" w:eastAsia="仿宋_GB2312" w:cs="仿宋_GB2312"/>
          <w:color w:val="000000"/>
          <w:sz w:val="32"/>
          <w:szCs w:val="32"/>
        </w:rPr>
        <w:t>违反本办法规定，未经关山管委会审核，在风景区内进行下列活动的，由关山管委会责令停止违法行为、限期恢复原状或者采取其他补救措施，并依法进行处罚。</w:t>
      </w:r>
    </w:p>
    <w:p w14:paraId="64B2AD73">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（一）设置、张贴商业广告的；</w:t>
      </w:r>
    </w:p>
    <w:p w14:paraId="74BB5A08">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举办大型游乐等活动的；</w:t>
      </w:r>
    </w:p>
    <w:p w14:paraId="1E6E4654">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改变水资源、水环境自然状态的活动的；</w:t>
      </w:r>
    </w:p>
    <w:p w14:paraId="6A865BDD">
      <w:pPr>
        <w:pStyle w:val="5"/>
        <w:keepNext w:val="0"/>
        <w:keepLines w:val="0"/>
        <w:pageBreakBefore w:val="0"/>
        <w:kinsoku/>
        <w:wordWrap/>
        <w:overflowPunct/>
        <w:topLinePunct w:val="0"/>
        <w:autoSpaceDE/>
        <w:autoSpaceDN/>
        <w:bidi w:val="0"/>
        <w:adjustRightInd w:val="0"/>
        <w:snapToGrid w:val="0"/>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（四）其他影响生态和景观的活动。</w:t>
      </w:r>
    </w:p>
    <w:p w14:paraId="023E7EEC">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黑体" w:hAnsi="黑体" w:eastAsia="黑体" w:cs="黑体"/>
          <w:color w:val="000000"/>
          <w:sz w:val="32"/>
          <w:szCs w:val="32"/>
        </w:rPr>
        <w:t>第三十一条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违反本办法规定有下列行为之一的，由关山管委会责令限期改正，并依法进行处罚；造成损失的，应当依法予以赔偿：</w:t>
      </w:r>
    </w:p>
    <w:p w14:paraId="0EDD7AA5">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（一）乱扔废弃物、攀折林木花草，在景物和公共设施上刻画、涂写的；</w:t>
      </w:r>
    </w:p>
    <w:p w14:paraId="781986CE">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（二）在非指定区域吸烟、用火、取土的；</w:t>
      </w:r>
    </w:p>
    <w:p w14:paraId="0F9D371C">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（三）占道经营、私自圈占景点收费的。</w:t>
      </w:r>
    </w:p>
    <w:p w14:paraId="30E55597">
      <w:pPr>
        <w:keepNext w:val="0"/>
        <w:keepLines w:val="0"/>
        <w:pageBreakBefore w:val="0"/>
        <w:kinsoku/>
        <w:wordWrap/>
        <w:overflowPunct/>
        <w:topLinePunct w:val="0"/>
        <w:autoSpaceDE/>
        <w:autoSpaceDN/>
        <w:bidi w:val="0"/>
        <w:adjustRightInd w:val="0"/>
        <w:snapToGrid w:val="0"/>
        <w:spacing w:line="600" w:lineRule="exact"/>
        <w:ind w:firstLine="640"/>
        <w:rPr>
          <w:rFonts w:ascii="仿宋_GB2312" w:hAnsi="仿宋_GB2312" w:eastAsia="仿宋_GB2312" w:cs="仿宋_GB2312"/>
          <w:color w:val="000000"/>
          <w:sz w:val="32"/>
          <w:szCs w:val="32"/>
        </w:rPr>
      </w:pPr>
      <w:r>
        <w:rPr>
          <w:rFonts w:hint="eastAsia" w:ascii="黑体" w:hAnsi="黑体" w:eastAsia="黑体" w:cs="黑体"/>
          <w:color w:val="000000"/>
          <w:sz w:val="32"/>
          <w:szCs w:val="32"/>
        </w:rPr>
        <w:t xml:space="preserve">第三十二条  </w:t>
      </w:r>
      <w:r>
        <w:rPr>
          <w:rFonts w:hint="eastAsia" w:ascii="仿宋_GB2312" w:hAnsi="仿宋_GB2312" w:eastAsia="仿宋_GB2312" w:cs="仿宋_GB2312"/>
          <w:color w:val="000000"/>
          <w:sz w:val="32"/>
          <w:szCs w:val="32"/>
        </w:rPr>
        <w:t>违反本办法规定的行为，法律、法规已有处罚规定的，从其规定。</w:t>
      </w:r>
    </w:p>
    <w:p w14:paraId="5A67D8EF">
      <w:pPr>
        <w:keepNext w:val="0"/>
        <w:keepLines w:val="0"/>
        <w:pageBreakBefore w:val="0"/>
        <w:kinsoku/>
        <w:wordWrap/>
        <w:overflowPunct/>
        <w:topLinePunct w:val="0"/>
        <w:autoSpaceDE/>
        <w:autoSpaceDN/>
        <w:bidi w:val="0"/>
        <w:adjustRightInd w:val="0"/>
        <w:snapToGrid w:val="0"/>
        <w:spacing w:line="600" w:lineRule="exact"/>
        <w:rPr>
          <w:rFonts w:ascii="宋体" w:cs="仿宋_GB2312"/>
          <w:color w:val="000000"/>
          <w:szCs w:val="32"/>
        </w:rPr>
      </w:pPr>
    </w:p>
    <w:p w14:paraId="18F721EA">
      <w:pPr>
        <w:keepNext w:val="0"/>
        <w:keepLines w:val="0"/>
        <w:pageBreakBefore w:val="0"/>
        <w:kinsoku/>
        <w:wordWrap/>
        <w:overflowPunct/>
        <w:topLinePunct w:val="0"/>
        <w:autoSpaceDE/>
        <w:autoSpaceDN/>
        <w:bidi w:val="0"/>
        <w:adjustRightInd w:val="0"/>
        <w:snapToGrid w:val="0"/>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第六章　附</w:t>
      </w:r>
      <w:r>
        <w:rPr>
          <w:rFonts w:ascii="黑体" w:hAnsi="黑体" w:eastAsia="黑体" w:cs="黑体"/>
          <w:color w:val="000000"/>
          <w:sz w:val="32"/>
          <w:szCs w:val="32"/>
        </w:rPr>
        <w:t xml:space="preserve">  </w:t>
      </w:r>
      <w:r>
        <w:rPr>
          <w:rFonts w:hint="eastAsia" w:ascii="黑体" w:hAnsi="黑体" w:eastAsia="黑体" w:cs="黑体"/>
          <w:color w:val="000000"/>
          <w:sz w:val="32"/>
          <w:szCs w:val="32"/>
        </w:rPr>
        <w:t>则</w:t>
      </w:r>
    </w:p>
    <w:p w14:paraId="0D718DC1">
      <w:pPr>
        <w:keepNext w:val="0"/>
        <w:keepLines w:val="0"/>
        <w:pageBreakBefore w:val="0"/>
        <w:kinsoku/>
        <w:wordWrap/>
        <w:overflowPunct/>
        <w:topLinePunct w:val="0"/>
        <w:autoSpaceDE/>
        <w:autoSpaceDN/>
        <w:bidi w:val="0"/>
        <w:adjustRightInd w:val="0"/>
        <w:snapToGrid w:val="0"/>
        <w:spacing w:line="600" w:lineRule="exact"/>
        <w:jc w:val="center"/>
        <w:rPr>
          <w:rFonts w:ascii="宋体" w:cs="仿宋_GB2312"/>
          <w:color w:val="000000"/>
          <w:szCs w:val="32"/>
        </w:rPr>
      </w:pPr>
    </w:p>
    <w:p w14:paraId="1D912D7F">
      <w:pPr>
        <w:pStyle w:val="9"/>
        <w:keepNext w:val="0"/>
        <w:keepLines w:val="0"/>
        <w:pageBreakBefore w:val="0"/>
        <w:widowControl w:val="0"/>
        <w:kinsoku/>
        <w:wordWrap/>
        <w:overflowPunct/>
        <w:topLinePunct w:val="0"/>
        <w:autoSpaceDE/>
        <w:autoSpaceDN/>
        <w:bidi w:val="0"/>
        <w:spacing w:before="0" w:beforeAutospacing="0" w:after="0" w:afterAutospacing="0" w:line="600" w:lineRule="exact"/>
        <w:ind w:firstLine="640" w:firstLineChars="200"/>
        <w:textAlignment w:val="auto"/>
        <w:rPr>
          <w:rFonts w:ascii="仿宋_GB2312" w:hAnsi="仿宋_GB2312" w:eastAsia="仿宋_GB2312" w:cs="仿宋_GB2312"/>
          <w:color w:val="333333"/>
          <w:sz w:val="32"/>
          <w:szCs w:val="32"/>
          <w:shd w:val="clear" w:color="auto" w:fill="FFFFFF"/>
        </w:rPr>
      </w:pPr>
      <w:r>
        <w:rPr>
          <w:rFonts w:hint="eastAsia" w:ascii="黑体" w:hAnsi="黑体" w:eastAsia="黑体" w:cs="黑体"/>
          <w:color w:val="000000"/>
          <w:sz w:val="32"/>
          <w:szCs w:val="32"/>
        </w:rPr>
        <w:t>第三十三条</w:t>
      </w:r>
      <w:r>
        <w:rPr>
          <w:rFonts w:ascii="黑体" w:hAnsi="黑体" w:eastAsia="黑体" w:cs="黑体"/>
          <w:color w:val="000000"/>
          <w:sz w:val="32"/>
          <w:szCs w:val="32"/>
        </w:rPr>
        <w:t xml:space="preserve"> </w:t>
      </w:r>
      <w:r>
        <w:rPr>
          <w:rFonts w:hint="eastAsia" w:ascii="黑体" w:hAnsi="黑体" w:eastAsia="黑体" w:cs="黑体"/>
          <w:color w:val="000000"/>
          <w:sz w:val="32"/>
          <w:szCs w:val="32"/>
        </w:rPr>
        <w:t xml:space="preserve"> </w:t>
      </w:r>
      <w:r>
        <w:rPr>
          <w:rFonts w:hint="eastAsia" w:ascii="仿宋_GB2312" w:hAnsi="仿宋_GB2312" w:eastAsia="仿宋_GB2312" w:cs="仿宋_GB2312"/>
          <w:color w:val="000000"/>
          <w:sz w:val="32"/>
          <w:szCs w:val="32"/>
        </w:rPr>
        <w:t>本办法自</w:t>
      </w:r>
      <w:r>
        <w:rPr>
          <w:rFonts w:ascii="仿宋_GB2312" w:hAnsi="仿宋_GB2312" w:eastAsia="仿宋_GB2312" w:cs="仿宋_GB2312"/>
          <w:color w:val="000000"/>
          <w:sz w:val="32"/>
          <w:szCs w:val="32"/>
        </w:rPr>
        <w:t>2025</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日起施行。</w:t>
      </w:r>
    </w:p>
    <w:bookmarkEnd w:id="1"/>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6CE39">
    <w:pPr>
      <w:pStyle w:val="8"/>
      <w:ind w:left="4788" w:leftChars="2280" w:firstLine="6400" w:firstLineChars="2000"/>
      <w:rPr>
        <w:rFonts w:eastAsia="仿宋"/>
        <w:sz w:val="32"/>
        <w:szCs w:val="48"/>
      </w:rPr>
    </w:pPr>
    <w:r>
      <w:rPr>
        <w:sz w:val="32"/>
      </w:rPr>
      <w:pict>
        <v:shape id="_x0000_s4098" o:spid="_x0000_s409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14:paraId="5DB891E3">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w:r>
  </w:p>
  <w:p w14:paraId="319AB3EF">
    <w:pPr>
      <w:pStyle w:val="8"/>
      <w:wordWrap w:val="0"/>
      <w:ind w:left="4788" w:leftChars="2280" w:firstLine="6400" w:firstLineChars="2000"/>
      <w:jc w:val="right"/>
      <w:rPr>
        <w:rFonts w:ascii="宋体" w:hAnsi="宋体" w:eastAsia="宋体" w:cs="宋体"/>
        <w:b/>
        <w:bCs/>
        <w:color w:val="005192"/>
        <w:sz w:val="28"/>
        <w:szCs w:val="44"/>
      </w:rPr>
    </w:pPr>
    <w:r>
      <w:rPr>
        <w:color w:val="FAFAFA"/>
        <w:sz w:val="32"/>
      </w:rPr>
      <w:pict>
        <v:line id="_x0000_s4099" o:spid="_x0000_s4099"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X宝鸡市人</w:t>
    </w:r>
    <w:r>
      <w:rPr>
        <w:rFonts w:hint="eastAsia" w:ascii="宋体" w:hAnsi="宋体" w:eastAsia="宋体" w:cs="宋体"/>
        <w:b/>
        <w:bCs/>
        <w:color w:val="005192"/>
        <w:sz w:val="28"/>
        <w:szCs w:val="44"/>
      </w:rPr>
      <w:t xml:space="preserve">宝鸡市人民政府发布     </w:t>
    </w:r>
  </w:p>
  <w:p w14:paraId="7946DE5A">
    <w:pPr>
      <w:pStyle w:val="8"/>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989CC">
    <w:pPr>
      <w:pStyle w:val="8"/>
      <w:textAlignment w:val="center"/>
      <w:rPr>
        <w:rFonts w:ascii="宋体" w:hAnsi="宋体" w:eastAsia="宋体" w:cs="宋体"/>
        <w:b/>
        <w:bCs/>
        <w:color w:val="005192"/>
        <w:sz w:val="32"/>
      </w:rPr>
    </w:pPr>
    <w:r>
      <w:rPr>
        <w:rFonts w:ascii="宋体" w:hAnsi="宋体" w:eastAsia="宋体" w:cs="宋体"/>
        <w:b/>
        <w:bCs/>
        <w:color w:val="005192"/>
        <w:sz w:val="32"/>
      </w:rPr>
      <w:pict>
        <v:line id="_x0000_s4097" o:spid="_x0000_s4097"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14:paraId="388AF5B2">
    <w:pPr>
      <w:pStyle w:val="8"/>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宝鸡市人民政府规章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14019D"/>
    <w:rsid w:val="00172A27"/>
    <w:rsid w:val="00236484"/>
    <w:rsid w:val="004E2158"/>
    <w:rsid w:val="005141BE"/>
    <w:rsid w:val="005E6D42"/>
    <w:rsid w:val="00667745"/>
    <w:rsid w:val="006B66AA"/>
    <w:rsid w:val="007670C8"/>
    <w:rsid w:val="008E7CB2"/>
    <w:rsid w:val="00A7526E"/>
    <w:rsid w:val="00B07D57"/>
    <w:rsid w:val="00BC3D90"/>
    <w:rsid w:val="00C75629"/>
    <w:rsid w:val="00C9440F"/>
    <w:rsid w:val="00CC7913"/>
    <w:rsid w:val="00CF1163"/>
    <w:rsid w:val="00E1298E"/>
    <w:rsid w:val="00FF5CD7"/>
    <w:rsid w:val="019E71BD"/>
    <w:rsid w:val="04B679C3"/>
    <w:rsid w:val="080F63D8"/>
    <w:rsid w:val="09341458"/>
    <w:rsid w:val="0B0912D7"/>
    <w:rsid w:val="152D2DCA"/>
    <w:rsid w:val="1DEC284C"/>
    <w:rsid w:val="1E6523AC"/>
    <w:rsid w:val="22440422"/>
    <w:rsid w:val="2AF45502"/>
    <w:rsid w:val="31A15F24"/>
    <w:rsid w:val="395347B5"/>
    <w:rsid w:val="39A232A0"/>
    <w:rsid w:val="39E745AA"/>
    <w:rsid w:val="3B5A6BBB"/>
    <w:rsid w:val="3EDA13A6"/>
    <w:rsid w:val="42F058B7"/>
    <w:rsid w:val="436109F6"/>
    <w:rsid w:val="43700A55"/>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uiPriority w:val="0"/>
    <w:rPr>
      <w:rFonts w:ascii="仿宋" w:hAnsi="仿宋" w:eastAsia="仿宋" w:cs="仿宋"/>
      <w:sz w:val="43"/>
      <w:szCs w:val="43"/>
      <w:lang w:eastAsia="en-US"/>
    </w:rPr>
  </w:style>
  <w:style w:type="paragraph" w:styleId="5">
    <w:name w:val="Plain Text"/>
    <w:basedOn w:val="1"/>
    <w:link w:val="17"/>
    <w:qFormat/>
    <w:uiPriority w:val="0"/>
    <w:rPr>
      <w:rFonts w:ascii="宋体" w:hAnsi="Courier New" w:eastAsia="宋体" w:cs="Courier New"/>
      <w:szCs w:val="21"/>
    </w:rPr>
  </w:style>
  <w:style w:type="paragraph" w:styleId="6">
    <w:name w:val="Balloon Text"/>
    <w:basedOn w:val="1"/>
    <w:link w:val="14"/>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unhideWhenUsed/>
    <w:uiPriority w:val="0"/>
    <w:pPr>
      <w:widowControl/>
      <w:spacing w:before="100" w:beforeAutospacing="1" w:after="100" w:afterAutospacing="1"/>
      <w:jc w:val="left"/>
    </w:pPr>
    <w:rPr>
      <w:rFonts w:ascii="宋体" w:hAnsi="宋体" w:eastAsia="宋体" w:cs="宋体"/>
      <w:kern w:val="0"/>
      <w:sz w:val="24"/>
    </w:r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批注框文本 Char"/>
    <w:basedOn w:val="11"/>
    <w:link w:val="6"/>
    <w:uiPriority w:val="0"/>
    <w:rPr>
      <w:rFonts w:asciiTheme="minorHAnsi" w:hAnsiTheme="minorHAnsi" w:eastAsiaTheme="minorEastAsia" w:cstheme="minorBidi"/>
      <w:kern w:val="2"/>
      <w:sz w:val="18"/>
      <w:szCs w:val="18"/>
    </w:rPr>
  </w:style>
  <w:style w:type="character" w:customStyle="1" w:styleId="15">
    <w:name w:val="fontstyle01"/>
    <w:basedOn w:val="11"/>
    <w:uiPriority w:val="0"/>
    <w:rPr>
      <w:rFonts w:ascii="黑体" w:hAnsi="黑体" w:eastAsia="黑体" w:cs="Times New Roman"/>
      <w:color w:val="000000"/>
      <w:sz w:val="32"/>
      <w:szCs w:val="32"/>
    </w:rPr>
  </w:style>
  <w:style w:type="character" w:customStyle="1" w:styleId="16">
    <w:name w:val="fontstyle21"/>
    <w:basedOn w:val="11"/>
    <w:qFormat/>
    <w:uiPriority w:val="0"/>
    <w:rPr>
      <w:rFonts w:ascii="仿宋" w:eastAsia="仿宋" w:cs="Times New Roman"/>
      <w:color w:val="000000"/>
      <w:sz w:val="32"/>
      <w:szCs w:val="32"/>
    </w:rPr>
  </w:style>
  <w:style w:type="character" w:customStyle="1" w:styleId="17">
    <w:name w:val="纯文本 Char"/>
    <w:basedOn w:val="11"/>
    <w:link w:val="5"/>
    <w:qFormat/>
    <w:uiPriority w:val="0"/>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Info spid="_x0000_s409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E109C-F70E-4EB1-92D8-4CDDAFAB0848}">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3352</Words>
  <Characters>3365</Characters>
  <Lines>44</Lines>
  <Paragraphs>12</Paragraphs>
  <TotalTime>3</TotalTime>
  <ScaleCrop>false</ScaleCrop>
  <LinksUpToDate>false</LinksUpToDate>
  <CharactersWithSpaces>3464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〆、______浩仪</cp:lastModifiedBy>
  <cp:lastPrinted>2021-10-26T03:30:00Z</cp:lastPrinted>
  <dcterms:modified xsi:type="dcterms:W3CDTF">2025-03-24T03:33:15Z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48C61CB29D3F4D9384F5922CF0F7FFB4</vt:lpwstr>
  </property>
  <property fmtid="{D5CDD505-2E9C-101B-9397-08002B2CF9AE}" pid="4" name="KSOTemplateDocerSaveRecord">
    <vt:lpwstr>eyJoZGlkIjoiYjUyZGMxOWUwOTc0ZjI5NTJhOTMzMmMwYjliNzM5MmYiLCJ1c2VySWQiOiIyMDM1NTc1OTYifQ==</vt:lpwstr>
  </property>
</Properties>
</file>