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A625A5">
      <w:pPr>
        <w:jc w:val="center"/>
        <w:rPr>
          <w:rFonts w:asciiTheme="minorEastAsia" w:hAnsiTheme="minorEastAsia" w:cstheme="minorEastAsia"/>
          <w:sz w:val="44"/>
          <w:szCs w:val="44"/>
        </w:rPr>
      </w:pPr>
    </w:p>
    <w:p w14:paraId="58349669">
      <w:pPr>
        <w:rPr>
          <w:rFonts w:asciiTheme="minorEastAsia" w:hAnsiTheme="minorEastAsia" w:cstheme="minorEastAsia"/>
          <w:sz w:val="44"/>
          <w:szCs w:val="44"/>
        </w:rPr>
      </w:pPr>
    </w:p>
    <w:p w14:paraId="67D94B4C">
      <w:pPr>
        <w:jc w:val="center"/>
        <w:rPr>
          <w:rFonts w:ascii="宋体" w:hAnsi="宋体" w:eastAsia="宋体" w:cs="宋体"/>
          <w:sz w:val="36"/>
          <w:szCs w:val="36"/>
          <w:shd w:val="clear" w:color="auto" w:fill="FFFFFF"/>
        </w:rPr>
      </w:pPr>
      <w:bookmarkStart w:id="0" w:name="_GoBack"/>
      <w:r>
        <w:rPr>
          <w:rFonts w:hint="eastAsia" w:asciiTheme="minorEastAsia" w:hAnsiTheme="minorEastAsia" w:cstheme="minorEastAsia"/>
          <w:sz w:val="44"/>
          <w:szCs w:val="44"/>
        </w:rPr>
        <w:t>宝鸡市气象设施和气象探测环境保护办法</w:t>
      </w:r>
      <w:bookmarkEnd w:id="0"/>
    </w:p>
    <w:p w14:paraId="2898B070">
      <w:pPr>
        <w:ind w:firstLine="640" w:firstLineChars="200"/>
        <w:rPr>
          <w:rFonts w:ascii="楷体_GB2312" w:hAnsi="楷体_GB2312" w:eastAsia="楷体_GB2312" w:cs="楷体_GB2312"/>
          <w:color w:val="333333"/>
          <w:sz w:val="32"/>
          <w:szCs w:val="32"/>
          <w:shd w:val="clear" w:color="auto" w:fill="FFFFFF"/>
        </w:rPr>
      </w:pPr>
      <w:r>
        <w:rPr>
          <w:rFonts w:hint="eastAsia" w:ascii="楷体_GB2312" w:hAnsi="楷体_GB2312" w:eastAsia="楷体_GB2312" w:cs="楷体_GB2312"/>
          <w:color w:val="333333"/>
          <w:sz w:val="32"/>
          <w:szCs w:val="32"/>
          <w:shd w:val="clear" w:color="auto" w:fill="FFFFFF"/>
        </w:rPr>
        <w:t>(202</w:t>
      </w:r>
      <w:r>
        <w:rPr>
          <w:rFonts w:hint="eastAsia" w:ascii="楷体_GB2312" w:hAnsi="楷体_GB2312" w:eastAsia="楷体_GB2312" w:cs="楷体_GB2312"/>
          <w:color w:val="333333"/>
          <w:sz w:val="32"/>
          <w:szCs w:val="32"/>
          <w:shd w:val="clear" w:color="auto" w:fill="FFFFFF"/>
          <w:lang w:val="en-US" w:eastAsia="zh-CN"/>
        </w:rPr>
        <w:t>4</w:t>
      </w:r>
      <w:r>
        <w:rPr>
          <w:rFonts w:hint="eastAsia" w:ascii="楷体_GB2312" w:hAnsi="楷体_GB2312" w:eastAsia="楷体_GB2312" w:cs="楷体_GB2312"/>
          <w:color w:val="333333"/>
          <w:sz w:val="32"/>
          <w:szCs w:val="32"/>
          <w:shd w:val="clear" w:color="auto" w:fill="FFFFFF"/>
        </w:rPr>
        <w:t>年11月</w:t>
      </w:r>
      <w:r>
        <w:rPr>
          <w:rFonts w:hint="eastAsia" w:ascii="楷体_GB2312" w:hAnsi="楷体_GB2312" w:eastAsia="楷体_GB2312" w:cs="楷体_GB2312"/>
          <w:color w:val="333333"/>
          <w:sz w:val="32"/>
          <w:szCs w:val="32"/>
          <w:shd w:val="clear" w:color="auto" w:fill="FFFFFF"/>
          <w:lang w:val="en-US" w:eastAsia="zh-CN"/>
        </w:rPr>
        <w:t>2</w:t>
      </w:r>
      <w:r>
        <w:rPr>
          <w:rFonts w:hint="eastAsia" w:ascii="楷体_GB2312" w:hAnsi="楷体_GB2312" w:eastAsia="楷体_GB2312" w:cs="楷体_GB2312"/>
          <w:color w:val="333333"/>
          <w:sz w:val="32"/>
          <w:szCs w:val="32"/>
          <w:shd w:val="clear" w:color="auto" w:fill="FFFFFF"/>
        </w:rPr>
        <w:t>日宝鸡市人民政府令第8</w:t>
      </w:r>
      <w:r>
        <w:rPr>
          <w:rFonts w:hint="eastAsia" w:ascii="楷体_GB2312" w:hAnsi="楷体_GB2312" w:eastAsia="楷体_GB2312" w:cs="楷体_GB2312"/>
          <w:color w:val="333333"/>
          <w:sz w:val="32"/>
          <w:szCs w:val="32"/>
          <w:shd w:val="clear" w:color="auto" w:fill="FFFFFF"/>
          <w:lang w:val="en-US" w:eastAsia="zh-CN"/>
        </w:rPr>
        <w:t>2</w:t>
      </w:r>
      <w:r>
        <w:rPr>
          <w:rFonts w:hint="eastAsia" w:ascii="楷体_GB2312" w:hAnsi="楷体_GB2312" w:eastAsia="楷体_GB2312" w:cs="楷体_GB2312"/>
          <w:color w:val="333333"/>
          <w:sz w:val="32"/>
          <w:szCs w:val="32"/>
          <w:shd w:val="clear" w:color="auto" w:fill="FFFFFF"/>
        </w:rPr>
        <w:t>号公布 自202</w:t>
      </w:r>
      <w:r>
        <w:rPr>
          <w:rFonts w:hint="eastAsia" w:ascii="楷体_GB2312" w:hAnsi="楷体_GB2312" w:eastAsia="楷体_GB2312" w:cs="楷体_GB2312"/>
          <w:color w:val="333333"/>
          <w:sz w:val="32"/>
          <w:szCs w:val="32"/>
          <w:shd w:val="clear" w:color="auto" w:fill="FFFFFF"/>
          <w:lang w:val="en-US" w:eastAsia="zh-CN"/>
        </w:rPr>
        <w:t>5</w:t>
      </w:r>
      <w:r>
        <w:rPr>
          <w:rFonts w:hint="eastAsia" w:ascii="楷体_GB2312" w:hAnsi="楷体_GB2312" w:eastAsia="楷体_GB2312" w:cs="楷体_GB2312"/>
          <w:color w:val="333333"/>
          <w:sz w:val="32"/>
          <w:szCs w:val="32"/>
          <w:shd w:val="clear" w:color="auto" w:fill="FFFFFF"/>
        </w:rPr>
        <w:t>年1月1日起施行)</w:t>
      </w:r>
    </w:p>
    <w:p w14:paraId="0DD949E1">
      <w:pPr>
        <w:rPr>
          <w:rFonts w:ascii="宋体" w:hAnsi="宋体" w:eastAsia="宋体" w:cs="宋体"/>
          <w:color w:val="333333"/>
          <w:sz w:val="36"/>
          <w:szCs w:val="36"/>
          <w:shd w:val="clear" w:color="auto" w:fill="FFFFFF"/>
        </w:rPr>
      </w:pPr>
    </w:p>
    <w:p w14:paraId="510E016E">
      <w:pPr>
        <w:keepNext w:val="0"/>
        <w:keepLines w:val="0"/>
        <w:pageBreakBefore w:val="0"/>
        <w:kinsoku/>
        <w:wordWrap/>
        <w:autoSpaceDE/>
        <w:autoSpaceDN/>
        <w:bidi w:val="0"/>
        <w:adjustRightInd w:val="0"/>
        <w:snapToGrid w:val="0"/>
        <w:spacing w:line="600" w:lineRule="exact"/>
        <w:ind w:firstLine="640" w:firstLineChars="200"/>
        <w:textAlignment w:val="auto"/>
        <w:rPr>
          <w:rFonts w:ascii="Calibri" w:hAnsi="Calibri" w:eastAsia="宋体" w:cs="Times New Roman"/>
          <w:snapToGrid w:val="0"/>
          <w:color w:val="000000"/>
          <w:kern w:val="0"/>
        </w:rPr>
      </w:pPr>
      <w:r>
        <w:rPr>
          <w:rFonts w:hint="eastAsia" w:ascii="黑体" w:hAnsi="黑体" w:eastAsia="黑体" w:cs="Times New Roman"/>
          <w:snapToGrid w:val="0"/>
          <w:color w:val="000000"/>
          <w:kern w:val="0"/>
          <w:sz w:val="32"/>
          <w:szCs w:val="32"/>
        </w:rPr>
        <w:t>第一条</w:t>
      </w:r>
      <w:r>
        <w:rPr>
          <w:rFonts w:ascii="宋体" w:hAnsi="宋体" w:eastAsia="宋体" w:cs="Times New Roman"/>
          <w:snapToGrid w:val="0"/>
          <w:color w:val="000000"/>
          <w:kern w:val="0"/>
          <w:sz w:val="28"/>
          <w:szCs w:val="28"/>
        </w:rPr>
        <w:t xml:space="preserve">  </w:t>
      </w:r>
      <w:r>
        <w:rPr>
          <w:rFonts w:hint="eastAsia" w:ascii="仿宋_GB2312" w:hAnsi="仿宋_GB2312" w:eastAsia="仿宋_GB2312" w:cs="仿宋_GB2312"/>
          <w:snapToGrid w:val="0"/>
          <w:color w:val="000000"/>
          <w:kern w:val="0"/>
          <w:sz w:val="32"/>
          <w:szCs w:val="32"/>
        </w:rPr>
        <w:t>为了保护气象设施和气象探测环境，确保气象探测信息的代表性、准确性、连续性和可比较性，为防灾减灾、应对气候变化、保护和合理开发利用气候资源等提供科学依据，根据《中华人民共和国气象法》《气象设施和气象探测环境保护条例》《陕西省气象条例》《陕西省气象灾害防御条例》《陕西省实施&lt;气象设施和气象探测环境保护条例&gt;办法》等法律、法规、规章，结合本市实际，制定本办法。</w:t>
      </w:r>
    </w:p>
    <w:p w14:paraId="5F6ABA62">
      <w:pPr>
        <w:keepNext w:val="0"/>
        <w:keepLines w:val="0"/>
        <w:pageBreakBefore w:val="0"/>
        <w:kinsoku/>
        <w:wordWrap/>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napToGrid w:val="0"/>
          <w:color w:val="000000"/>
          <w:kern w:val="0"/>
          <w:sz w:val="32"/>
          <w:szCs w:val="32"/>
        </w:rPr>
      </w:pPr>
      <w:r>
        <w:rPr>
          <w:rFonts w:hint="eastAsia" w:ascii="黑体" w:hAnsi="仿宋_GB2312" w:eastAsia="黑体" w:cs="仿宋_GB2312"/>
          <w:snapToGrid w:val="0"/>
          <w:color w:val="000000"/>
          <w:kern w:val="0"/>
          <w:sz w:val="32"/>
          <w:szCs w:val="32"/>
        </w:rPr>
        <w:t>第二条</w:t>
      </w:r>
      <w:r>
        <w:rPr>
          <w:rFonts w:hint="eastAsia" w:ascii="仿宋_GB2312" w:hAnsi="仿宋_GB2312" w:eastAsia="仿宋_GB2312" w:cs="仿宋_GB2312"/>
          <w:snapToGrid w:val="0"/>
          <w:color w:val="000000"/>
          <w:kern w:val="0"/>
          <w:sz w:val="32"/>
          <w:szCs w:val="32"/>
        </w:rPr>
        <w:t xml:space="preserve">  本办法适用于本市行政区域内气象设施和气象探测环境的保护。</w:t>
      </w:r>
    </w:p>
    <w:p w14:paraId="2D03443E">
      <w:pPr>
        <w:keepNext w:val="0"/>
        <w:keepLines w:val="0"/>
        <w:pageBreakBefore w:val="0"/>
        <w:kinsoku/>
        <w:wordWrap/>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snapToGrid w:val="0"/>
          <w:color w:val="000000"/>
          <w:kern w:val="0"/>
          <w:sz w:val="32"/>
          <w:szCs w:val="32"/>
        </w:rPr>
        <w:t>本办法所称气象设施，是指气象探测设施、气象信息专用传输设施和大型气象专用技术装备等。</w:t>
      </w:r>
    </w:p>
    <w:p w14:paraId="062E7F44">
      <w:pPr>
        <w:keepNext w:val="0"/>
        <w:keepLines w:val="0"/>
        <w:pageBreakBefore w:val="0"/>
        <w:kinsoku/>
        <w:wordWrap/>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snapToGrid w:val="0"/>
          <w:color w:val="000000"/>
          <w:kern w:val="0"/>
          <w:sz w:val="32"/>
          <w:szCs w:val="32"/>
        </w:rPr>
        <w:t>本办法所称气象探测环境，是指为避开各种干扰，保证气象探测设施准确获得气象探测信息所必需的最小距离构成的环境空间。</w:t>
      </w:r>
    </w:p>
    <w:p w14:paraId="700D7871">
      <w:pPr>
        <w:keepNext w:val="0"/>
        <w:keepLines w:val="0"/>
        <w:pageBreakBefore w:val="0"/>
        <w:kinsoku/>
        <w:wordWrap/>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napToGrid w:val="0"/>
          <w:color w:val="000000"/>
          <w:kern w:val="0"/>
          <w:sz w:val="32"/>
          <w:szCs w:val="32"/>
        </w:rPr>
      </w:pPr>
      <w:r>
        <w:rPr>
          <w:rFonts w:hint="eastAsia" w:ascii="黑体" w:hAnsi="黑体" w:eastAsia="黑体" w:cs="Times New Roman"/>
          <w:snapToGrid w:val="0"/>
          <w:color w:val="000000"/>
          <w:kern w:val="0"/>
          <w:sz w:val="32"/>
          <w:szCs w:val="32"/>
        </w:rPr>
        <w:t>第三条</w:t>
      </w:r>
      <w:r>
        <w:rPr>
          <w:rFonts w:ascii="黑体" w:hAnsi="黑体" w:eastAsia="黑体" w:cs="Times New Roman"/>
          <w:snapToGrid w:val="0"/>
          <w:color w:val="000000"/>
          <w:kern w:val="0"/>
          <w:sz w:val="32"/>
          <w:szCs w:val="32"/>
        </w:rPr>
        <w:t xml:space="preserve"> </w:t>
      </w:r>
      <w:r>
        <w:rPr>
          <w:rFonts w:ascii="仿宋_GB2312" w:hAnsi="仿宋_GB2312" w:eastAsia="仿宋_GB2312" w:cs="仿宋_GB2312"/>
          <w:snapToGrid w:val="0"/>
          <w:color w:val="000000"/>
          <w:kern w:val="0"/>
          <w:sz w:val="32"/>
          <w:szCs w:val="32"/>
        </w:rPr>
        <w:t xml:space="preserve"> </w:t>
      </w:r>
      <w:r>
        <w:rPr>
          <w:rFonts w:hint="eastAsia" w:ascii="仿宋_GB2312" w:hAnsi="仿宋_GB2312" w:eastAsia="仿宋_GB2312" w:cs="仿宋_GB2312"/>
          <w:snapToGrid w:val="0"/>
          <w:color w:val="000000"/>
          <w:kern w:val="0"/>
          <w:sz w:val="32"/>
          <w:szCs w:val="32"/>
        </w:rPr>
        <w:t>气象设施和气象探测环境保护遵照规划控制、分级管理、分类保护、预防为主的原则。</w:t>
      </w:r>
    </w:p>
    <w:p w14:paraId="2E21F0CB">
      <w:pPr>
        <w:keepNext w:val="0"/>
        <w:keepLines w:val="0"/>
        <w:pageBreakBefore w:val="0"/>
        <w:kinsoku/>
        <w:wordWrap/>
        <w:overflowPunct w:val="0"/>
        <w:topLinePunct/>
        <w:autoSpaceDE/>
        <w:autoSpaceDN/>
        <w:bidi w:val="0"/>
        <w:adjustRightInd w:val="0"/>
        <w:snapToGrid w:val="0"/>
        <w:spacing w:line="600" w:lineRule="exact"/>
        <w:ind w:firstLine="640" w:firstLineChars="200"/>
        <w:textAlignment w:val="auto"/>
        <w:rPr>
          <w:rFonts w:ascii="仿宋_GB2312" w:hAnsi="仿宋_GB2312" w:eastAsia="仿宋_GB2312" w:cs="仿宋_GB2312"/>
          <w:color w:val="000000"/>
          <w:sz w:val="32"/>
          <w:szCs w:val="32"/>
        </w:rPr>
      </w:pPr>
      <w:r>
        <w:rPr>
          <w:rFonts w:hint="eastAsia" w:ascii="黑体" w:hAnsi="黑体" w:eastAsia="黑体"/>
          <w:color w:val="000000"/>
          <w:sz w:val="32"/>
          <w:szCs w:val="32"/>
        </w:rPr>
        <w:t>第四条</w:t>
      </w:r>
      <w:r>
        <w:rPr>
          <w:rFonts w:hint="eastAsia" w:ascii="黑体" w:hAnsi="黑体" w:eastAsia="黑体" w:cs="黑体"/>
          <w:color w:val="000000"/>
          <w:sz w:val="32"/>
          <w:szCs w:val="32"/>
        </w:rPr>
        <w:t xml:space="preserve">  </w:t>
      </w:r>
      <w:r>
        <w:rPr>
          <w:rFonts w:hint="eastAsia" w:ascii="仿宋_GB2312" w:hAnsi="仿宋_GB2312" w:eastAsia="仿宋_GB2312" w:cs="仿宋_GB2312"/>
          <w:color w:val="000000"/>
          <w:sz w:val="32"/>
          <w:szCs w:val="32"/>
        </w:rPr>
        <w:t>市、县（区）人民政府应当加强对本行政区域内气象设施和气象探测环境保护工作的组织、领导，建立气象设施和气象探测环境保护工作协调机制。支持气象设施的建设和管理，按照气象设施建设规划合理安排气象设施建设用地，将气象设施和气象探测环境保护工作经费纳入同级财政预算。</w:t>
      </w:r>
    </w:p>
    <w:p w14:paraId="65F26F34">
      <w:pPr>
        <w:keepNext w:val="0"/>
        <w:keepLines w:val="0"/>
        <w:pageBreakBefore w:val="0"/>
        <w:kinsoku/>
        <w:wordWrap/>
        <w:overflowPunct w:val="0"/>
        <w:topLinePunct/>
        <w:autoSpaceDE/>
        <w:autoSpaceDN/>
        <w:bidi w:val="0"/>
        <w:adjustRightInd w:val="0"/>
        <w:snapToGrid w:val="0"/>
        <w:spacing w:line="600" w:lineRule="exact"/>
        <w:ind w:firstLine="640" w:firstLineChars="200"/>
        <w:textAlignment w:val="auto"/>
        <w:rPr>
          <w:rFonts w:ascii="仿宋_GB2312" w:hAnsi="仿宋_GB2312" w:eastAsia="仿宋_GB2312" w:cs="仿宋_GB2312"/>
          <w:color w:val="000000"/>
          <w:sz w:val="32"/>
          <w:szCs w:val="32"/>
        </w:rPr>
      </w:pPr>
      <w:r>
        <w:rPr>
          <w:rFonts w:hint="eastAsia" w:ascii="黑体" w:hAnsi="黑体" w:eastAsia="黑体" w:cs="黑体"/>
          <w:color w:val="000000"/>
          <w:sz w:val="32"/>
          <w:szCs w:val="32"/>
        </w:rPr>
        <w:t xml:space="preserve">第五条  </w:t>
      </w:r>
      <w:r>
        <w:rPr>
          <w:rFonts w:hint="eastAsia" w:ascii="仿宋_GB2312" w:hAnsi="仿宋_GB2312" w:eastAsia="仿宋_GB2312" w:cs="仿宋_GB2312"/>
          <w:color w:val="000000"/>
          <w:sz w:val="32"/>
          <w:szCs w:val="32"/>
        </w:rPr>
        <w:t>市、县（区）气象主管机构在上级气象主管机构和同级人民政府领导下，负责本行政区域内气象设施和气象探测环境的保护工作。</w:t>
      </w:r>
    </w:p>
    <w:p w14:paraId="734E3B66">
      <w:pPr>
        <w:keepNext w:val="0"/>
        <w:keepLines w:val="0"/>
        <w:pageBreakBefore w:val="0"/>
        <w:widowControl/>
        <w:kinsoku/>
        <w:wordWrap/>
        <w:autoSpaceDE/>
        <w:autoSpaceDN/>
        <w:bidi w:val="0"/>
        <w:adjustRightInd w:val="0"/>
        <w:snapToGrid w:val="0"/>
        <w:spacing w:line="600" w:lineRule="exact"/>
        <w:ind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市、县（区）气象主管机构应当将本行政区域内气象探测环境保护要求报告本级人民政府和上一级气象主管机构，并抄送同级发展和改革、自然资源和规划、住房和城乡建设、无线电管理、生态环境、行政审批等部门，上述有关部门按照各自职责分工做好气象设施和气象探测环境保护工作。</w:t>
      </w:r>
    </w:p>
    <w:p w14:paraId="5953CF4D">
      <w:pPr>
        <w:keepNext w:val="0"/>
        <w:keepLines w:val="0"/>
        <w:pageBreakBefore w:val="0"/>
        <w:kinsoku/>
        <w:wordWrap/>
        <w:overflowPunct w:val="0"/>
        <w:topLinePunct/>
        <w:autoSpaceDE/>
        <w:autoSpaceDN/>
        <w:bidi w:val="0"/>
        <w:adjustRightInd w:val="0"/>
        <w:snapToGrid w:val="0"/>
        <w:spacing w:line="600" w:lineRule="exact"/>
        <w:ind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乡（镇）人民政府、街道办事处应当在各自的职责范围内，做好与气象事业有关的工作。</w:t>
      </w:r>
    </w:p>
    <w:p w14:paraId="7CA4D065">
      <w:pPr>
        <w:keepNext w:val="0"/>
        <w:keepLines w:val="0"/>
        <w:pageBreakBefore w:val="0"/>
        <w:kinsoku/>
        <w:wordWrap/>
        <w:overflowPunct w:val="0"/>
        <w:topLinePunct/>
        <w:autoSpaceDE/>
        <w:autoSpaceDN/>
        <w:bidi w:val="0"/>
        <w:adjustRightInd w:val="0"/>
        <w:snapToGrid w:val="0"/>
        <w:spacing w:line="600" w:lineRule="exact"/>
        <w:ind w:firstLine="624" w:firstLineChars="200"/>
        <w:textAlignment w:val="auto"/>
        <w:rPr>
          <w:rFonts w:ascii="仿宋_GB2312" w:hAnsi="仿宋_GB2312" w:eastAsia="仿宋_GB2312" w:cs="仿宋_GB2312"/>
          <w:snapToGrid w:val="0"/>
          <w:color w:val="000000"/>
          <w:spacing w:val="-4"/>
          <w:kern w:val="0"/>
          <w:sz w:val="32"/>
          <w:szCs w:val="32"/>
        </w:rPr>
      </w:pPr>
      <w:r>
        <w:rPr>
          <w:rFonts w:hint="eastAsia" w:ascii="仿宋_GB2312" w:hAnsi="仿宋_GB2312" w:eastAsia="仿宋_GB2312" w:cs="仿宋_GB2312"/>
          <w:snapToGrid w:val="0"/>
          <w:color w:val="000000"/>
          <w:spacing w:val="-4"/>
          <w:kern w:val="0"/>
          <w:sz w:val="32"/>
          <w:szCs w:val="32"/>
        </w:rPr>
        <w:t>外国组织和个人在本市行政区域内从事气象探测以及汇交、获取、提供和使用气象资料等活动，应当遵守国家有关规定。</w:t>
      </w:r>
    </w:p>
    <w:p w14:paraId="32222B31">
      <w:pPr>
        <w:keepNext w:val="0"/>
        <w:keepLines w:val="0"/>
        <w:pageBreakBefore w:val="0"/>
        <w:kinsoku/>
        <w:wordWrap/>
        <w:overflowPunct w:val="0"/>
        <w:topLinePunct/>
        <w:autoSpaceDE/>
        <w:autoSpaceDN/>
        <w:bidi w:val="0"/>
        <w:adjustRightInd w:val="0"/>
        <w:snapToGrid w:val="0"/>
        <w:spacing w:line="600" w:lineRule="exact"/>
        <w:ind w:firstLine="640" w:firstLineChars="200"/>
        <w:textAlignment w:val="auto"/>
        <w:rPr>
          <w:color w:val="000000"/>
        </w:rPr>
      </w:pPr>
      <w:r>
        <w:rPr>
          <w:rFonts w:hint="eastAsia" w:ascii="黑体" w:hAnsi="黑体" w:eastAsia="黑体"/>
          <w:color w:val="000000"/>
          <w:sz w:val="32"/>
          <w:szCs w:val="32"/>
        </w:rPr>
        <w:t>第六条</w:t>
      </w:r>
      <w:r>
        <w:rPr>
          <w:rFonts w:hint="eastAsia" w:ascii="黑体" w:hAnsi="黑体" w:eastAsia="黑体" w:cs="黑体"/>
          <w:color w:val="000000"/>
          <w:sz w:val="32"/>
          <w:szCs w:val="32"/>
        </w:rPr>
        <w:t xml:space="preserve">  </w:t>
      </w:r>
      <w:r>
        <w:rPr>
          <w:rFonts w:hint="eastAsia" w:ascii="仿宋_GB2312" w:hAnsi="仿宋_GB2312" w:eastAsia="仿宋_GB2312" w:cs="仿宋_GB2312"/>
          <w:color w:val="000000"/>
          <w:sz w:val="32"/>
          <w:szCs w:val="32"/>
        </w:rPr>
        <w:t>气象设施建设应当合理布局，有效利用，兼顾当前与长远需要，避免重复建设。</w:t>
      </w:r>
    </w:p>
    <w:p w14:paraId="6A5E0944">
      <w:pPr>
        <w:keepNext w:val="0"/>
        <w:keepLines w:val="0"/>
        <w:pageBreakBefore w:val="0"/>
        <w:kinsoku/>
        <w:wordWrap/>
        <w:overflowPunct w:val="0"/>
        <w:topLinePunct/>
        <w:autoSpaceDE/>
        <w:autoSpaceDN/>
        <w:bidi w:val="0"/>
        <w:adjustRightInd w:val="0"/>
        <w:snapToGrid w:val="0"/>
        <w:spacing w:line="600" w:lineRule="exact"/>
        <w:ind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市、县（区）气象主管机构应当会同发展和改革、自然资源和规划、生态环境、交通运输、水利、农业农村等有关部门编制本行政区域内气象设施布局和建设规划，将各部门各行业自建的气象探测设施纳入气象观测网络，报本级人民政府批准后实施。</w:t>
      </w:r>
    </w:p>
    <w:p w14:paraId="5A57148F">
      <w:pPr>
        <w:keepNext w:val="0"/>
        <w:keepLines w:val="0"/>
        <w:pageBreakBefore w:val="0"/>
        <w:kinsoku/>
        <w:wordWrap/>
        <w:autoSpaceDE/>
        <w:autoSpaceDN/>
        <w:bidi w:val="0"/>
        <w:adjustRightInd w:val="0"/>
        <w:snapToGrid w:val="0"/>
        <w:spacing w:line="600" w:lineRule="exact"/>
        <w:ind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各部门各行业自建的气象探测设施应当符合气象设施布局和建设规划要求，加强基础信息数据共享共用，接受同级气象主管机构的指导、监督和行业管理。</w:t>
      </w:r>
    </w:p>
    <w:p w14:paraId="001BC061">
      <w:pPr>
        <w:keepNext w:val="0"/>
        <w:keepLines w:val="0"/>
        <w:pageBreakBefore w:val="0"/>
        <w:kinsoku/>
        <w:wordWrap/>
        <w:overflowPunct w:val="0"/>
        <w:topLinePunct/>
        <w:autoSpaceDE/>
        <w:autoSpaceDN/>
        <w:bidi w:val="0"/>
        <w:adjustRightInd w:val="0"/>
        <w:snapToGrid w:val="0"/>
        <w:spacing w:line="600" w:lineRule="exact"/>
        <w:ind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市、县（区）人民政府其他有关部门所属的气象台站及其他从事气象探测的组织和个人，应当按照国家有关规定汇交所获得的气象探测资料。</w:t>
      </w:r>
    </w:p>
    <w:p w14:paraId="3277F719">
      <w:pPr>
        <w:keepNext w:val="0"/>
        <w:keepLines w:val="0"/>
        <w:pageBreakBefore w:val="0"/>
        <w:widowControl/>
        <w:kinsoku/>
        <w:wordWrap/>
        <w:autoSpaceDE/>
        <w:autoSpaceDN/>
        <w:bidi w:val="0"/>
        <w:adjustRightInd w:val="0"/>
        <w:snapToGrid w:val="0"/>
        <w:spacing w:line="600" w:lineRule="exact"/>
        <w:ind w:firstLine="640" w:firstLineChars="200"/>
        <w:textAlignment w:val="auto"/>
        <w:rPr>
          <w:rFonts w:ascii="仿宋_GB2312" w:hAnsi="仿宋_GB2312" w:eastAsia="仿宋_GB2312" w:cs="仿宋_GB2312"/>
          <w:color w:val="000000"/>
          <w:sz w:val="32"/>
          <w:szCs w:val="32"/>
        </w:rPr>
      </w:pPr>
      <w:r>
        <w:rPr>
          <w:rFonts w:hint="eastAsia" w:ascii="黑体" w:hAnsi="黑体" w:eastAsia="黑体"/>
          <w:color w:val="000000"/>
          <w:sz w:val="32"/>
          <w:szCs w:val="32"/>
        </w:rPr>
        <w:t>第</w:t>
      </w:r>
      <w:r>
        <w:rPr>
          <w:rFonts w:hint="eastAsia" w:ascii="黑体" w:hAnsi="黑体" w:eastAsia="黑体" w:cs="黑体"/>
          <w:color w:val="000000"/>
          <w:sz w:val="32"/>
          <w:szCs w:val="32"/>
        </w:rPr>
        <w:t>七</w:t>
      </w:r>
      <w:r>
        <w:rPr>
          <w:rFonts w:hint="eastAsia" w:ascii="黑体" w:hAnsi="黑体" w:eastAsia="黑体"/>
          <w:color w:val="000000"/>
          <w:sz w:val="32"/>
          <w:szCs w:val="32"/>
        </w:rPr>
        <w:t>条</w:t>
      </w:r>
      <w:r>
        <w:rPr>
          <w:rFonts w:hint="eastAsia" w:ascii="黑体" w:hAnsi="黑体" w:eastAsia="黑体" w:cs="黑体"/>
          <w:color w:val="000000"/>
          <w:sz w:val="32"/>
          <w:szCs w:val="32"/>
        </w:rPr>
        <w:t xml:space="preserve">  </w:t>
      </w:r>
      <w:r>
        <w:rPr>
          <w:rFonts w:hint="eastAsia" w:ascii="仿宋_GB2312" w:hAnsi="仿宋_GB2312" w:eastAsia="仿宋_GB2312" w:cs="仿宋_GB2312"/>
          <w:color w:val="000000"/>
          <w:sz w:val="32"/>
          <w:szCs w:val="32"/>
        </w:rPr>
        <w:t>市、县（区）气象主管机构应当会同自然资源和规划等部门制定气象设施和气象探测环境保护专项规划，报同级人民政府批准后纳入国土空间规划。</w:t>
      </w:r>
    </w:p>
    <w:p w14:paraId="15A07035">
      <w:pPr>
        <w:pStyle w:val="3"/>
        <w:keepNext w:val="0"/>
        <w:keepLines w:val="0"/>
        <w:pageBreakBefore w:val="0"/>
        <w:kinsoku/>
        <w:wordWrap/>
        <w:autoSpaceDE/>
        <w:autoSpaceDN/>
        <w:bidi w:val="0"/>
        <w:adjustRightInd w:val="0"/>
        <w:snapToGrid w:val="0"/>
        <w:spacing w:line="600" w:lineRule="exact"/>
        <w:ind w:firstLine="640" w:firstLineChars="200"/>
        <w:textAlignment w:val="auto"/>
        <w:rPr>
          <w:rFonts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气象设施和气象探测环境保护专项规划应当包含气象设施规划用地、空间布局及数量，各类气象设施用地的用途、规模及其周边用地的保护和控制要求，建设项目安排与实施时序等内容。</w:t>
      </w:r>
    </w:p>
    <w:p w14:paraId="77F46A36">
      <w:pPr>
        <w:keepNext w:val="0"/>
        <w:keepLines w:val="0"/>
        <w:pageBreakBefore w:val="0"/>
        <w:kinsoku/>
        <w:wordWrap/>
        <w:overflowPunct w:val="0"/>
        <w:topLinePunct/>
        <w:autoSpaceDE/>
        <w:autoSpaceDN/>
        <w:bidi w:val="0"/>
        <w:adjustRightInd w:val="0"/>
        <w:snapToGrid w:val="0"/>
        <w:spacing w:line="600" w:lineRule="exact"/>
        <w:ind w:firstLine="640" w:firstLineChars="200"/>
        <w:textAlignment w:val="auto"/>
        <w:rPr>
          <w:rFonts w:ascii="仿宋_GB2312" w:hAnsi="仿宋_GB2312" w:eastAsia="仿宋_GB2312" w:cs="仿宋_GB2312"/>
          <w:color w:val="000000"/>
          <w:sz w:val="32"/>
          <w:szCs w:val="32"/>
        </w:rPr>
      </w:pPr>
      <w:r>
        <w:rPr>
          <w:rFonts w:hint="eastAsia" w:ascii="黑体" w:hAnsi="黑体" w:eastAsia="黑体" w:cs="黑体"/>
          <w:color w:val="000000"/>
          <w:sz w:val="32"/>
          <w:szCs w:val="32"/>
        </w:rPr>
        <w:t>第</w:t>
      </w:r>
      <w:r>
        <w:rPr>
          <w:rFonts w:hint="eastAsia" w:ascii="黑体" w:hAnsi="黑体" w:eastAsia="黑体"/>
          <w:color w:val="000000"/>
          <w:sz w:val="32"/>
          <w:szCs w:val="32"/>
        </w:rPr>
        <w:t>八</w:t>
      </w:r>
      <w:r>
        <w:rPr>
          <w:rFonts w:hint="eastAsia" w:ascii="黑体" w:hAnsi="黑体" w:eastAsia="黑体" w:cs="黑体"/>
          <w:color w:val="000000"/>
          <w:sz w:val="32"/>
          <w:szCs w:val="32"/>
        </w:rPr>
        <w:t xml:space="preserve">条  </w:t>
      </w:r>
      <w:r>
        <w:rPr>
          <w:rFonts w:hint="eastAsia" w:ascii="仿宋_GB2312" w:hAnsi="仿宋_GB2312" w:eastAsia="仿宋_GB2312" w:cs="仿宋_GB2312"/>
          <w:color w:val="000000"/>
          <w:sz w:val="32"/>
          <w:szCs w:val="32"/>
        </w:rPr>
        <w:t>本市行政区域内的大气本底站、基本气象站、气象观测站、应用气象观测站、天气雷达站、其他单独设立的气象探测设施等气象设施及气象探测环境，应当依法保护。</w:t>
      </w:r>
    </w:p>
    <w:p w14:paraId="31AD914B">
      <w:pPr>
        <w:keepNext w:val="0"/>
        <w:keepLines w:val="0"/>
        <w:pageBreakBefore w:val="0"/>
        <w:kinsoku/>
        <w:wordWrap/>
        <w:overflowPunct w:val="0"/>
        <w:topLinePunct/>
        <w:autoSpaceDE/>
        <w:autoSpaceDN/>
        <w:bidi w:val="0"/>
        <w:adjustRightInd w:val="0"/>
        <w:snapToGrid w:val="0"/>
        <w:spacing w:line="600" w:lineRule="exact"/>
        <w:ind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气象设施建设单位应当设置必要的保护装置，建立安全管理制度，在气象设施附近显著位置设立保护标志，标明保护要求。任何单位和个人不得损毁或者擅自移动气象设施保护标志。</w:t>
      </w:r>
    </w:p>
    <w:p w14:paraId="5E6D816C">
      <w:pPr>
        <w:keepNext w:val="0"/>
        <w:keepLines w:val="0"/>
        <w:pageBreakBefore w:val="0"/>
        <w:kinsoku/>
        <w:wordWrap/>
        <w:overflowPunct w:val="0"/>
        <w:topLinePunct/>
        <w:autoSpaceDE/>
        <w:autoSpaceDN/>
        <w:bidi w:val="0"/>
        <w:adjustRightInd w:val="0"/>
        <w:snapToGrid w:val="0"/>
        <w:spacing w:line="600" w:lineRule="exact"/>
        <w:ind w:firstLine="640" w:firstLineChars="200"/>
        <w:textAlignment w:val="auto"/>
        <w:rPr>
          <w:rFonts w:ascii="黑体" w:hAnsi="黑体" w:eastAsia="黑体"/>
          <w:color w:val="000000"/>
          <w:sz w:val="32"/>
          <w:szCs w:val="32"/>
        </w:rPr>
      </w:pPr>
      <w:r>
        <w:rPr>
          <w:rFonts w:hint="eastAsia" w:ascii="黑体" w:hAnsi="黑体" w:eastAsia="黑体"/>
          <w:color w:val="000000"/>
          <w:sz w:val="32"/>
          <w:szCs w:val="32"/>
        </w:rPr>
        <w:t>第九条</w:t>
      </w:r>
      <w:r>
        <w:rPr>
          <w:rFonts w:hint="eastAsia" w:ascii="黑体" w:hAnsi="黑体" w:eastAsia="黑体" w:cs="黑体"/>
          <w:color w:val="000000"/>
          <w:sz w:val="32"/>
          <w:szCs w:val="32"/>
        </w:rPr>
        <w:t xml:space="preserve">  </w:t>
      </w:r>
      <w:r>
        <w:rPr>
          <w:rFonts w:hint="eastAsia" w:ascii="仿宋_GB2312" w:hAnsi="仿宋_GB2312" w:eastAsia="仿宋_GB2312" w:cs="仿宋_GB2312"/>
          <w:color w:val="000000"/>
          <w:sz w:val="32"/>
          <w:szCs w:val="32"/>
        </w:rPr>
        <w:t>市、县（区）人民政府应当根据气象探测环境保护范围的标准划定本行政区域的具体保护范围，并纳入国土空间规划。具体保护范围依照《气象设施和气象探测环境保护条例》和相关技术标准执行。</w:t>
      </w:r>
    </w:p>
    <w:p w14:paraId="7727190F">
      <w:pPr>
        <w:keepNext w:val="0"/>
        <w:keepLines w:val="0"/>
        <w:pageBreakBefore w:val="0"/>
        <w:kinsoku/>
        <w:wordWrap/>
        <w:overflowPunct w:val="0"/>
        <w:topLinePunct/>
        <w:autoSpaceDE/>
        <w:autoSpaceDN/>
        <w:bidi w:val="0"/>
        <w:adjustRightInd w:val="0"/>
        <w:snapToGrid w:val="0"/>
        <w:spacing w:line="600" w:lineRule="exact"/>
        <w:ind w:firstLine="640" w:firstLineChars="200"/>
        <w:textAlignment w:val="auto"/>
        <w:rPr>
          <w:rFonts w:ascii="仿宋_GB2312" w:hAnsi="仿宋_GB2312" w:eastAsia="仿宋_GB2312" w:cs="仿宋_GB2312"/>
          <w:snapToGrid w:val="0"/>
          <w:color w:val="000000"/>
          <w:spacing w:val="-4"/>
          <w:kern w:val="0"/>
          <w:sz w:val="32"/>
          <w:szCs w:val="32"/>
        </w:rPr>
      </w:pPr>
      <w:r>
        <w:rPr>
          <w:rFonts w:hint="eastAsia" w:ascii="黑体" w:hAnsi="黑体" w:eastAsia="黑体" w:cs="楷体_GB2312"/>
          <w:color w:val="000000"/>
          <w:sz w:val="32"/>
          <w:szCs w:val="32"/>
        </w:rPr>
        <w:t>第十条</w:t>
      </w:r>
      <w:r>
        <w:rPr>
          <w:rFonts w:hint="eastAsia" w:ascii="黑体" w:hAnsi="黑体" w:eastAsia="黑体" w:cs="黑体"/>
          <w:color w:val="000000"/>
          <w:sz w:val="32"/>
          <w:szCs w:val="32"/>
        </w:rPr>
        <w:t xml:space="preserve">  </w:t>
      </w:r>
      <w:r>
        <w:rPr>
          <w:rFonts w:hint="eastAsia" w:ascii="仿宋_GB2312" w:hAnsi="宋体" w:eastAsia="仿宋_GB2312" w:cs="仿宋_GB2312"/>
          <w:snapToGrid w:val="0"/>
          <w:color w:val="000000"/>
          <w:spacing w:val="-4"/>
          <w:kern w:val="0"/>
          <w:sz w:val="32"/>
          <w:szCs w:val="32"/>
          <w:lang w:bidi="ar"/>
        </w:rPr>
        <w:t>在气象台站探测环境保护范围内进行新建、改建、扩建工程时</w:t>
      </w:r>
      <w:r>
        <w:rPr>
          <w:rFonts w:hint="eastAsia" w:ascii="仿宋_GB2312" w:hAnsi="仿宋_GB2312" w:eastAsia="仿宋_GB2312" w:cs="仿宋_GB2312"/>
          <w:snapToGrid w:val="0"/>
          <w:color w:val="000000"/>
          <w:spacing w:val="-4"/>
          <w:kern w:val="0"/>
          <w:sz w:val="32"/>
          <w:szCs w:val="32"/>
        </w:rPr>
        <w:t>，自然资源和规划部门应当依照气象设施和气象探测环境保护专项规划进行项目用地初审和审查。</w:t>
      </w:r>
    </w:p>
    <w:p w14:paraId="7C365AD5">
      <w:pPr>
        <w:keepNext w:val="0"/>
        <w:keepLines w:val="0"/>
        <w:pageBreakBefore w:val="0"/>
        <w:kinsoku/>
        <w:wordWrap/>
        <w:overflowPunct w:val="0"/>
        <w:topLinePunct/>
        <w:autoSpaceDE/>
        <w:autoSpaceDN/>
        <w:bidi w:val="0"/>
        <w:adjustRightInd w:val="0"/>
        <w:snapToGrid w:val="0"/>
        <w:spacing w:line="600" w:lineRule="exact"/>
        <w:ind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市、县（区）气象主管机构应当对气象探测环境保护范围内的新建、改建、扩建工程，以及避免危害气象探测环境行政许可事项的活动进行监督检查，及时了解情况并向省气象主管机构报告。</w:t>
      </w:r>
    </w:p>
    <w:p w14:paraId="2D154B35">
      <w:pPr>
        <w:keepNext w:val="0"/>
        <w:keepLines w:val="0"/>
        <w:pageBreakBefore w:val="0"/>
        <w:widowControl/>
        <w:kinsoku/>
        <w:wordWrap/>
        <w:autoSpaceDE/>
        <w:autoSpaceDN/>
        <w:bidi w:val="0"/>
        <w:adjustRightInd w:val="0"/>
        <w:snapToGrid w:val="0"/>
        <w:spacing w:line="600" w:lineRule="exact"/>
        <w:ind w:firstLine="640" w:firstLineChars="200"/>
        <w:textAlignment w:val="auto"/>
        <w:rPr>
          <w:color w:val="000000"/>
        </w:rPr>
      </w:pPr>
      <w:r>
        <w:rPr>
          <w:rFonts w:hint="eastAsia" w:ascii="黑体" w:hAnsi="黑体" w:eastAsia="黑体"/>
          <w:color w:val="000000"/>
          <w:sz w:val="32"/>
          <w:szCs w:val="32"/>
        </w:rPr>
        <w:t>第十一条</w:t>
      </w:r>
      <w:r>
        <w:rPr>
          <w:rFonts w:hint="eastAsia" w:ascii="黑体" w:hAnsi="黑体" w:eastAsia="黑体" w:cs="黑体"/>
          <w:color w:val="000000"/>
          <w:sz w:val="32"/>
          <w:szCs w:val="32"/>
        </w:rPr>
        <w:t xml:space="preserve">  </w:t>
      </w:r>
      <w:r>
        <w:rPr>
          <w:rFonts w:hint="eastAsia" w:ascii="仿宋_GB2312" w:hAnsi="仿宋_GB2312" w:eastAsia="仿宋_GB2312" w:cs="仿宋_GB2312"/>
          <w:color w:val="000000"/>
          <w:sz w:val="32"/>
          <w:szCs w:val="32"/>
        </w:rPr>
        <w:t>市、县</w:t>
      </w:r>
      <w:r>
        <w:rPr>
          <w:rFonts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t>区</w:t>
      </w:r>
      <w:r>
        <w:rPr>
          <w:rFonts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t>发展和改革、自然资源和规划、住房和城乡建设、无线电管理、生态环境、行政审批等部门按照职责权限，在审批气象探测环境保护范围内的新建、改建、扩建项目和工程开工建设时，应当按照《气象设施和气象探测环境保护条例》及气象设施和气象探测环境保护专项规划的规定进行，避免危害气象探测环境。</w:t>
      </w:r>
    </w:p>
    <w:p w14:paraId="1D2059C7">
      <w:pPr>
        <w:keepNext w:val="0"/>
        <w:keepLines w:val="0"/>
        <w:pageBreakBefore w:val="0"/>
        <w:kinsoku/>
        <w:wordWrap/>
        <w:overflowPunct w:val="0"/>
        <w:topLinePunct/>
        <w:autoSpaceDE/>
        <w:autoSpaceDN/>
        <w:bidi w:val="0"/>
        <w:adjustRightInd w:val="0"/>
        <w:snapToGrid w:val="0"/>
        <w:spacing w:line="600" w:lineRule="exact"/>
        <w:ind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确实无法避免的，建设单位应当向省气象主管机构报告并提出相应的补救措施，同时征得省气象主管机构书面同意。未征得气象主管机构书面同意或者未落实补救措施的，有关部门不得批准其开工建设。</w:t>
      </w:r>
    </w:p>
    <w:p w14:paraId="5C721AC6">
      <w:pPr>
        <w:keepNext w:val="0"/>
        <w:keepLines w:val="0"/>
        <w:pageBreakBefore w:val="0"/>
        <w:kinsoku/>
        <w:wordWrap/>
        <w:overflowPunct w:val="0"/>
        <w:topLinePunct/>
        <w:autoSpaceDE/>
        <w:autoSpaceDN/>
        <w:bidi w:val="0"/>
        <w:adjustRightInd w:val="0"/>
        <w:snapToGrid w:val="0"/>
        <w:spacing w:line="600" w:lineRule="exact"/>
        <w:ind w:firstLine="640" w:firstLineChars="200"/>
        <w:textAlignment w:val="auto"/>
        <w:rPr>
          <w:rFonts w:ascii="仿宋_GB2312" w:hAnsi="仿宋_GB2312" w:eastAsia="仿宋_GB2312" w:cs="仿宋_GB2312"/>
          <w:color w:val="000000"/>
          <w:sz w:val="32"/>
          <w:szCs w:val="32"/>
        </w:rPr>
      </w:pPr>
      <w:r>
        <w:rPr>
          <w:rFonts w:hint="eastAsia" w:ascii="黑体" w:hAnsi="黑体" w:eastAsia="黑体" w:cs="黑体"/>
          <w:color w:val="000000"/>
          <w:sz w:val="32"/>
          <w:szCs w:val="32"/>
        </w:rPr>
        <w:t xml:space="preserve">第十二条  </w:t>
      </w:r>
      <w:r>
        <w:rPr>
          <w:rFonts w:hint="eastAsia" w:ascii="仿宋_GB2312" w:hAnsi="仿宋_GB2312" w:eastAsia="仿宋_GB2312" w:cs="仿宋_GB2312"/>
          <w:color w:val="000000"/>
          <w:sz w:val="32"/>
          <w:szCs w:val="32"/>
        </w:rPr>
        <w:t>对不符合气象探测环境保护要求的建筑物、构筑物、干扰源等，市、县（区）气象主管机构应当根据实际情况，商有关部门提出治理方案，报本级人民政府批准并组织实施。</w:t>
      </w:r>
    </w:p>
    <w:p w14:paraId="35307040">
      <w:pPr>
        <w:keepNext w:val="0"/>
        <w:keepLines w:val="0"/>
        <w:pageBreakBefore w:val="0"/>
        <w:kinsoku/>
        <w:wordWrap/>
        <w:overflowPunct w:val="0"/>
        <w:topLinePunct/>
        <w:autoSpaceDE/>
        <w:autoSpaceDN/>
        <w:bidi w:val="0"/>
        <w:adjustRightInd w:val="0"/>
        <w:snapToGrid w:val="0"/>
        <w:spacing w:line="600" w:lineRule="exact"/>
        <w:ind w:firstLine="640" w:firstLineChars="200"/>
        <w:textAlignment w:val="auto"/>
        <w:rPr>
          <w:rFonts w:ascii="仿宋_GB2312" w:hAnsi="仿宋_GB2312" w:eastAsia="仿宋_GB2312" w:cs="仿宋_GB2312"/>
          <w:color w:val="000000"/>
          <w:sz w:val="32"/>
          <w:szCs w:val="32"/>
        </w:rPr>
      </w:pPr>
      <w:r>
        <w:rPr>
          <w:rFonts w:hint="eastAsia" w:ascii="黑体" w:hAnsi="黑体" w:eastAsia="黑体" w:cs="黑体"/>
          <w:color w:val="000000"/>
          <w:sz w:val="32"/>
          <w:szCs w:val="32"/>
        </w:rPr>
        <w:t xml:space="preserve">第十三条  </w:t>
      </w:r>
      <w:r>
        <w:rPr>
          <w:rFonts w:hint="eastAsia" w:ascii="仿宋_GB2312" w:hAnsi="仿宋_GB2312" w:eastAsia="仿宋_GB2312" w:cs="仿宋_GB2312"/>
          <w:color w:val="000000"/>
          <w:sz w:val="32"/>
          <w:szCs w:val="32"/>
        </w:rPr>
        <w:t>气象台站的站址应当保持长期稳定，任何单位或者个人不得擅自迁移气象台站。</w:t>
      </w:r>
    </w:p>
    <w:p w14:paraId="427C3893">
      <w:pPr>
        <w:keepNext w:val="0"/>
        <w:keepLines w:val="0"/>
        <w:pageBreakBefore w:val="0"/>
        <w:kinsoku/>
        <w:wordWrap/>
        <w:overflowPunct w:val="0"/>
        <w:topLinePunct/>
        <w:autoSpaceDE/>
        <w:autoSpaceDN/>
        <w:bidi w:val="0"/>
        <w:adjustRightInd w:val="0"/>
        <w:snapToGrid w:val="0"/>
        <w:spacing w:line="600" w:lineRule="exact"/>
        <w:ind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因国家重点工程建设或者城镇总体规划变化，确需迁移气象台站的，建设单位或者当地人民政府应当按照国家有关规定向省气象主管机构提出迁移气象台站的申请；迁移大气本底站、基本气象站的，由省气象主管机构签署意见后报国务院气象主管机构审批；迁移其他气象台站的，由省气象主管机构审批，并报送国务院气象主管机构备案。气象台站迁移、建设费用由建设单位承担。</w:t>
      </w:r>
    </w:p>
    <w:p w14:paraId="150E57F3">
      <w:pPr>
        <w:keepNext w:val="0"/>
        <w:keepLines w:val="0"/>
        <w:pageBreakBefore w:val="0"/>
        <w:kinsoku/>
        <w:wordWrap/>
        <w:overflowPunct w:val="0"/>
        <w:topLinePunct/>
        <w:autoSpaceDE/>
        <w:autoSpaceDN/>
        <w:bidi w:val="0"/>
        <w:adjustRightInd w:val="0"/>
        <w:snapToGrid w:val="0"/>
        <w:spacing w:line="600" w:lineRule="exact"/>
        <w:ind w:firstLine="640" w:firstLineChars="200"/>
        <w:textAlignment w:val="auto"/>
        <w:rPr>
          <w:rFonts w:ascii="仿宋_GB2312" w:hAnsi="仿宋_GB2312" w:eastAsia="仿宋_GB2312" w:cs="仿宋_GB2312"/>
          <w:color w:val="000000"/>
          <w:sz w:val="32"/>
          <w:szCs w:val="32"/>
        </w:rPr>
      </w:pPr>
      <w:r>
        <w:rPr>
          <w:rFonts w:hint="eastAsia" w:ascii="黑体" w:hAnsi="黑体" w:eastAsia="黑体" w:cs="黑体"/>
          <w:color w:val="000000"/>
          <w:sz w:val="32"/>
          <w:szCs w:val="32"/>
        </w:rPr>
        <w:t xml:space="preserve">第十四条  </w:t>
      </w:r>
      <w:r>
        <w:rPr>
          <w:rFonts w:hint="eastAsia" w:ascii="仿宋_GB2312" w:hAnsi="仿宋_GB2312" w:eastAsia="仿宋_GB2312" w:cs="仿宋_GB2312"/>
          <w:color w:val="000000"/>
          <w:sz w:val="32"/>
          <w:szCs w:val="32"/>
        </w:rPr>
        <w:t>气象设施因不可抗力遭受破坏时，当地人民政府应当采取紧急措施，组织力量修复，确保气象设施正常运行。</w:t>
      </w:r>
    </w:p>
    <w:p w14:paraId="3974D0E3">
      <w:pPr>
        <w:keepNext w:val="0"/>
        <w:keepLines w:val="0"/>
        <w:pageBreakBefore w:val="0"/>
        <w:kinsoku/>
        <w:wordWrap/>
        <w:overflowPunct w:val="0"/>
        <w:topLinePunct/>
        <w:autoSpaceDE/>
        <w:autoSpaceDN/>
        <w:bidi w:val="0"/>
        <w:adjustRightInd w:val="0"/>
        <w:snapToGrid w:val="0"/>
        <w:spacing w:line="600" w:lineRule="exact"/>
        <w:ind w:firstLine="640" w:firstLineChars="200"/>
        <w:textAlignment w:val="auto"/>
        <w:rPr>
          <w:rFonts w:ascii="仿宋_GB2312" w:hAnsi="仿宋_GB2312" w:eastAsia="仿宋_GB2312" w:cs="仿宋_GB2312"/>
          <w:color w:val="000000"/>
          <w:sz w:val="32"/>
          <w:szCs w:val="32"/>
        </w:rPr>
      </w:pPr>
      <w:r>
        <w:rPr>
          <w:rFonts w:hint="eastAsia" w:ascii="黑体" w:hAnsi="黑体" w:eastAsia="黑体" w:cs="黑体"/>
          <w:color w:val="000000"/>
          <w:sz w:val="32"/>
          <w:szCs w:val="32"/>
        </w:rPr>
        <w:t xml:space="preserve">第十五条  </w:t>
      </w:r>
      <w:r>
        <w:rPr>
          <w:rFonts w:hint="eastAsia" w:ascii="仿宋_GB2312" w:hAnsi="仿宋_GB2312" w:eastAsia="仿宋_GB2312" w:cs="仿宋_GB2312"/>
          <w:color w:val="000000"/>
          <w:sz w:val="32"/>
          <w:szCs w:val="32"/>
        </w:rPr>
        <w:t>气象台站探测环境遭到严重破坏，失去治理和恢复可能而决定迁移气象台站的，按照先建站后迁移的原则进行迁移；气象台站所在地地方人民政府应当保证气象台站迁移用地，并承担迁移、建设费用。地方人民政府承担迁移、建设费用后，可以向破坏探测环境的责任人追偿。</w:t>
      </w:r>
    </w:p>
    <w:p w14:paraId="3DCFB516">
      <w:pPr>
        <w:keepNext w:val="0"/>
        <w:keepLines w:val="0"/>
        <w:pageBreakBefore w:val="0"/>
        <w:kinsoku/>
        <w:wordWrap/>
        <w:overflowPunct w:val="0"/>
        <w:topLinePunct/>
        <w:autoSpaceDE/>
        <w:autoSpaceDN/>
        <w:bidi w:val="0"/>
        <w:adjustRightInd w:val="0"/>
        <w:snapToGrid w:val="0"/>
        <w:spacing w:line="600" w:lineRule="exact"/>
        <w:ind w:firstLine="640" w:firstLineChars="200"/>
        <w:textAlignment w:val="auto"/>
        <w:rPr>
          <w:rFonts w:ascii="仿宋_GB2312" w:hAnsi="仿宋_GB2312" w:eastAsia="仿宋_GB2312" w:cs="仿宋_GB2312"/>
          <w:color w:val="000000"/>
          <w:sz w:val="32"/>
          <w:szCs w:val="32"/>
        </w:rPr>
      </w:pPr>
      <w:r>
        <w:rPr>
          <w:rFonts w:hint="eastAsia" w:ascii="黑体" w:hAnsi="黑体" w:eastAsia="黑体" w:cs="黑体"/>
          <w:color w:val="000000"/>
          <w:sz w:val="32"/>
          <w:szCs w:val="32"/>
        </w:rPr>
        <w:t xml:space="preserve">第十六条  </w:t>
      </w:r>
      <w:r>
        <w:rPr>
          <w:rFonts w:hint="eastAsia" w:ascii="仿宋_GB2312" w:hAnsi="仿宋_GB2312" w:eastAsia="仿宋_GB2312" w:cs="仿宋_GB2312"/>
          <w:color w:val="000000"/>
          <w:sz w:val="32"/>
          <w:szCs w:val="32"/>
        </w:rPr>
        <w:t>经批准迁移的气象台站，应当按照国家规定，在新、旧站址进行至少一年的连续对比观测，对比观测期间，新、旧站址气象设施和气象探测环境同时依法受保护。对比观测完成，新气象台站经批准、决定迁移的气象主管机构验收合格，正式投入使用后，方可改变旧址用途。</w:t>
      </w:r>
    </w:p>
    <w:p w14:paraId="743B1B9B">
      <w:pPr>
        <w:keepNext w:val="0"/>
        <w:keepLines w:val="0"/>
        <w:pageBreakBefore w:val="0"/>
        <w:kinsoku/>
        <w:wordWrap/>
        <w:overflowPunct w:val="0"/>
        <w:topLinePunct/>
        <w:autoSpaceDE/>
        <w:autoSpaceDN/>
        <w:bidi w:val="0"/>
        <w:adjustRightInd w:val="0"/>
        <w:snapToGrid w:val="0"/>
        <w:spacing w:line="600" w:lineRule="exact"/>
        <w:ind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因工程建设或者气象探测环境治理需要迁移单独设立气象探测设施的，应当经设立该气象探测设施的单位同意，并按照国务院气象主管机构规定的技术要求进行复建。</w:t>
      </w:r>
    </w:p>
    <w:p w14:paraId="319F75B2">
      <w:pPr>
        <w:keepNext w:val="0"/>
        <w:keepLines w:val="0"/>
        <w:pageBreakBefore w:val="0"/>
        <w:kinsoku/>
        <w:wordWrap/>
        <w:overflowPunct w:val="0"/>
        <w:topLinePunct/>
        <w:autoSpaceDE/>
        <w:autoSpaceDN/>
        <w:bidi w:val="0"/>
        <w:adjustRightInd w:val="0"/>
        <w:snapToGrid w:val="0"/>
        <w:spacing w:line="600" w:lineRule="exact"/>
        <w:ind w:firstLine="640" w:firstLineChars="200"/>
        <w:textAlignment w:val="auto"/>
        <w:rPr>
          <w:rFonts w:ascii="仿宋_GB2312" w:hAnsi="仿宋_GB2312" w:eastAsia="仿宋_GB2312" w:cs="仿宋_GB2312"/>
          <w:color w:val="000000"/>
          <w:sz w:val="32"/>
          <w:szCs w:val="32"/>
        </w:rPr>
      </w:pPr>
      <w:r>
        <w:rPr>
          <w:rFonts w:hint="eastAsia" w:ascii="黑体" w:hAnsi="黑体" w:eastAsia="黑体" w:cs="黑体"/>
          <w:color w:val="000000"/>
          <w:sz w:val="32"/>
          <w:szCs w:val="32"/>
        </w:rPr>
        <w:t xml:space="preserve">第十七条  </w:t>
      </w:r>
      <w:r>
        <w:rPr>
          <w:rFonts w:hint="eastAsia" w:ascii="仿宋_GB2312" w:hAnsi="仿宋_GB2312" w:eastAsia="仿宋_GB2312" w:cs="仿宋_GB2312"/>
          <w:color w:val="000000"/>
          <w:sz w:val="32"/>
          <w:szCs w:val="32"/>
        </w:rPr>
        <w:t>气象设施配备应当符合有关质量标准和技术要求，并按照国家有关规定，定期经具备资质的计量检定机构进行检定。不得使用未经检定、检定不合格或者超过检定有效期的气象设施。</w:t>
      </w:r>
    </w:p>
    <w:p w14:paraId="29B1325C">
      <w:pPr>
        <w:keepNext w:val="0"/>
        <w:keepLines w:val="0"/>
        <w:pageBreakBefore w:val="0"/>
        <w:kinsoku/>
        <w:wordWrap/>
        <w:overflowPunct w:val="0"/>
        <w:topLinePunct/>
        <w:autoSpaceDE/>
        <w:autoSpaceDN/>
        <w:bidi w:val="0"/>
        <w:adjustRightInd w:val="0"/>
        <w:snapToGrid w:val="0"/>
        <w:spacing w:line="600" w:lineRule="exact"/>
        <w:ind w:firstLine="640" w:firstLineChars="200"/>
        <w:textAlignment w:val="auto"/>
        <w:rPr>
          <w:rFonts w:ascii="仿宋_GB2312" w:hAnsi="仿宋_GB2312" w:eastAsia="仿宋_GB2312" w:cs="仿宋_GB2312"/>
          <w:color w:val="000000"/>
          <w:sz w:val="32"/>
          <w:szCs w:val="32"/>
        </w:rPr>
      </w:pPr>
      <w:r>
        <w:rPr>
          <w:rFonts w:hint="eastAsia" w:ascii="黑体" w:hAnsi="黑体" w:eastAsia="黑体" w:cs="黑体"/>
          <w:color w:val="000000"/>
          <w:sz w:val="32"/>
          <w:szCs w:val="32"/>
        </w:rPr>
        <w:t xml:space="preserve">第十八条  </w:t>
      </w:r>
      <w:r>
        <w:rPr>
          <w:rFonts w:hint="eastAsia" w:ascii="仿宋_GB2312" w:hAnsi="仿宋_GB2312" w:eastAsia="仿宋_GB2312" w:cs="仿宋_GB2312"/>
          <w:color w:val="000000"/>
          <w:sz w:val="32"/>
          <w:szCs w:val="32"/>
        </w:rPr>
        <w:t>任何单位和个人有权对破坏气象设施和气象探测环境的行为进行举报。市、县（区）气象主管机构应当建立举报制度，公开举报电话号码、通信地址或者电子邮箱等联系方式；收到举报后，应当依法处理，并将处理结果告知举报人。</w:t>
      </w:r>
    </w:p>
    <w:p w14:paraId="1463D55B">
      <w:pPr>
        <w:keepNext w:val="0"/>
        <w:keepLines w:val="0"/>
        <w:pageBreakBefore w:val="0"/>
        <w:kinsoku/>
        <w:wordWrap/>
        <w:overflowPunct w:val="0"/>
        <w:topLinePunct/>
        <w:autoSpaceDE/>
        <w:autoSpaceDN/>
        <w:bidi w:val="0"/>
        <w:adjustRightInd w:val="0"/>
        <w:snapToGrid w:val="0"/>
        <w:spacing w:line="600" w:lineRule="exact"/>
        <w:ind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气象探测设施所在地的单位或者个人有义务对气象设施和气象探测环境进行保护。</w:t>
      </w:r>
    </w:p>
    <w:p w14:paraId="249115E3">
      <w:pPr>
        <w:keepNext w:val="0"/>
        <w:keepLines w:val="0"/>
        <w:pageBreakBefore w:val="0"/>
        <w:tabs>
          <w:tab w:val="left" w:pos="8460"/>
        </w:tabs>
        <w:kinsoku/>
        <w:wordWrap/>
        <w:overflowPunct w:val="0"/>
        <w:topLinePunct/>
        <w:autoSpaceDE/>
        <w:autoSpaceDN/>
        <w:bidi w:val="0"/>
        <w:adjustRightInd w:val="0"/>
        <w:snapToGrid w:val="0"/>
        <w:spacing w:line="600" w:lineRule="exact"/>
        <w:ind w:firstLine="640" w:firstLineChars="200"/>
        <w:textAlignment w:val="auto"/>
        <w:rPr>
          <w:rFonts w:ascii="仿宋_GB2312" w:hAnsi="仿宋_GB2312" w:eastAsia="仿宋_GB2312" w:cs="仿宋_GB2312"/>
          <w:color w:val="000000"/>
          <w:sz w:val="32"/>
          <w:szCs w:val="32"/>
        </w:rPr>
      </w:pPr>
      <w:r>
        <w:rPr>
          <w:rFonts w:hint="eastAsia" w:ascii="黑体" w:hAnsi="黑体" w:eastAsia="黑体"/>
          <w:color w:val="000000"/>
          <w:sz w:val="32"/>
          <w:szCs w:val="32"/>
        </w:rPr>
        <w:t>第十九条</w:t>
      </w:r>
      <w:r>
        <w:rPr>
          <w:rFonts w:hint="eastAsia" w:ascii="黑体" w:hAnsi="黑体" w:eastAsia="黑体" w:cs="黑体"/>
          <w:color w:val="000000"/>
          <w:sz w:val="32"/>
          <w:szCs w:val="32"/>
        </w:rPr>
        <w:t xml:space="preserve">  </w:t>
      </w:r>
      <w:r>
        <w:rPr>
          <w:rFonts w:hint="eastAsia" w:ascii="仿宋_GB2312" w:hAnsi="仿宋_GB2312" w:eastAsia="仿宋_GB2312" w:cs="仿宋_GB2312"/>
          <w:color w:val="000000"/>
          <w:sz w:val="32"/>
          <w:szCs w:val="32"/>
        </w:rPr>
        <w:t>市、县（区）气象主管机构应当加强对气象设施和气象探测环境的日常巡查和监督检查，可以采取下列措施：</w:t>
      </w:r>
    </w:p>
    <w:p w14:paraId="074445F4">
      <w:pPr>
        <w:keepNext w:val="0"/>
        <w:keepLines w:val="0"/>
        <w:pageBreakBefore w:val="0"/>
        <w:kinsoku/>
        <w:wordWrap/>
        <w:overflowPunct w:val="0"/>
        <w:topLinePunct/>
        <w:autoSpaceDE/>
        <w:autoSpaceDN/>
        <w:bidi w:val="0"/>
        <w:adjustRightInd w:val="0"/>
        <w:snapToGrid w:val="0"/>
        <w:spacing w:line="600" w:lineRule="exact"/>
        <w:ind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（一）要求被检查单位或者个人提供有关文件、证照、资料；</w:t>
      </w:r>
    </w:p>
    <w:p w14:paraId="4E48AECD">
      <w:pPr>
        <w:keepNext w:val="0"/>
        <w:keepLines w:val="0"/>
        <w:pageBreakBefore w:val="0"/>
        <w:kinsoku/>
        <w:wordWrap/>
        <w:overflowPunct w:val="0"/>
        <w:topLinePunct/>
        <w:autoSpaceDE/>
        <w:autoSpaceDN/>
        <w:bidi w:val="0"/>
        <w:adjustRightInd w:val="0"/>
        <w:snapToGrid w:val="0"/>
        <w:spacing w:line="600" w:lineRule="exact"/>
        <w:ind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（二）要求被检查单位或者个人就有关问题作出说明；</w:t>
      </w:r>
    </w:p>
    <w:p w14:paraId="27D2B487">
      <w:pPr>
        <w:keepNext w:val="0"/>
        <w:keepLines w:val="0"/>
        <w:pageBreakBefore w:val="0"/>
        <w:kinsoku/>
        <w:wordWrap/>
        <w:overflowPunct w:val="0"/>
        <w:topLinePunct/>
        <w:autoSpaceDE/>
        <w:autoSpaceDN/>
        <w:bidi w:val="0"/>
        <w:adjustRightInd w:val="0"/>
        <w:snapToGrid w:val="0"/>
        <w:spacing w:line="600" w:lineRule="exact"/>
        <w:ind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（三）进入现场调查、取证。</w:t>
      </w:r>
    </w:p>
    <w:p w14:paraId="2A64EE60">
      <w:pPr>
        <w:keepNext w:val="0"/>
        <w:keepLines w:val="0"/>
        <w:pageBreakBefore w:val="0"/>
        <w:tabs>
          <w:tab w:val="left" w:pos="8511"/>
        </w:tabs>
        <w:kinsoku/>
        <w:wordWrap/>
        <w:overflowPunct w:val="0"/>
        <w:topLinePunct/>
        <w:autoSpaceDE/>
        <w:autoSpaceDN/>
        <w:bidi w:val="0"/>
        <w:adjustRightInd w:val="0"/>
        <w:snapToGrid w:val="0"/>
        <w:spacing w:line="600" w:lineRule="exact"/>
        <w:ind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气象主管机构在监督检查中发现应当由其他部门查处的违法行为的，应当及时通报有关部门进行查处。有关部门未及时查处的，各级气象主管机构可以直接通报、报告有关地方人民政府责成有关部门进行查处。</w:t>
      </w:r>
    </w:p>
    <w:p w14:paraId="55D06E21">
      <w:pPr>
        <w:keepNext w:val="0"/>
        <w:keepLines w:val="0"/>
        <w:pageBreakBefore w:val="0"/>
        <w:kinsoku/>
        <w:wordWrap/>
        <w:overflowPunct w:val="0"/>
        <w:topLinePunct/>
        <w:autoSpaceDE/>
        <w:autoSpaceDN/>
        <w:bidi w:val="0"/>
        <w:adjustRightInd w:val="0"/>
        <w:snapToGrid w:val="0"/>
        <w:spacing w:line="600" w:lineRule="exact"/>
        <w:ind w:firstLine="640" w:firstLineChars="200"/>
        <w:textAlignment w:val="auto"/>
        <w:rPr>
          <w:rFonts w:ascii="仿宋_GB2312" w:hAnsi="仿宋_GB2312" w:eastAsia="仿宋_GB2312" w:cs="仿宋_GB2312"/>
          <w:color w:val="000000"/>
          <w:sz w:val="32"/>
          <w:szCs w:val="32"/>
        </w:rPr>
      </w:pPr>
      <w:r>
        <w:rPr>
          <w:rFonts w:hint="eastAsia" w:ascii="黑体" w:hAnsi="黑体" w:eastAsia="黑体"/>
          <w:color w:val="000000"/>
          <w:sz w:val="32"/>
          <w:szCs w:val="32"/>
        </w:rPr>
        <w:t>第二十条</w:t>
      </w:r>
      <w:r>
        <w:rPr>
          <w:rFonts w:hint="eastAsia" w:ascii="黑体" w:hAnsi="黑体" w:eastAsia="黑体" w:cs="黑体"/>
          <w:color w:val="000000"/>
          <w:sz w:val="32"/>
          <w:szCs w:val="32"/>
        </w:rPr>
        <w:t xml:space="preserve">  </w:t>
      </w:r>
      <w:r>
        <w:rPr>
          <w:rFonts w:hint="eastAsia" w:ascii="仿宋_GB2312" w:hAnsi="仿宋_GB2312" w:eastAsia="仿宋_GB2312" w:cs="仿宋_GB2312"/>
          <w:color w:val="000000"/>
          <w:sz w:val="32"/>
          <w:szCs w:val="32"/>
        </w:rPr>
        <w:t>市、县（区）气象主管机构应当建立评估报告制度，每年对本行政区域内气象设施和气象探测环境保护情况进行评估，并将评估结果报告同级人民政府和上一级气象主管机构，同时抄送同级有关部门。</w:t>
      </w:r>
    </w:p>
    <w:p w14:paraId="2474DFE3">
      <w:pPr>
        <w:keepNext w:val="0"/>
        <w:keepLines w:val="0"/>
        <w:pageBreakBefore w:val="0"/>
        <w:kinsoku/>
        <w:wordWrap/>
        <w:overflowPunct w:val="0"/>
        <w:topLinePunct/>
        <w:autoSpaceDE/>
        <w:autoSpaceDN/>
        <w:bidi w:val="0"/>
        <w:adjustRightInd w:val="0"/>
        <w:snapToGrid w:val="0"/>
        <w:spacing w:line="600" w:lineRule="exact"/>
        <w:ind w:firstLine="640" w:firstLineChars="200"/>
        <w:textAlignment w:val="auto"/>
        <w:rPr>
          <w:rFonts w:ascii="仿宋_GB2312" w:hAnsi="仿宋_GB2312" w:eastAsia="仿宋_GB2312" w:cs="仿宋_GB2312"/>
          <w:color w:val="000000"/>
          <w:sz w:val="32"/>
          <w:szCs w:val="32"/>
        </w:rPr>
      </w:pPr>
      <w:r>
        <w:rPr>
          <w:rFonts w:hint="eastAsia" w:ascii="黑体" w:hAnsi="黑体" w:eastAsia="黑体"/>
          <w:color w:val="000000"/>
          <w:sz w:val="32"/>
          <w:szCs w:val="32"/>
        </w:rPr>
        <w:t>第二十一条</w:t>
      </w:r>
      <w:r>
        <w:rPr>
          <w:rFonts w:hint="eastAsia" w:ascii="黑体" w:hAnsi="黑体" w:eastAsia="黑体" w:cs="黑体"/>
          <w:color w:val="000000"/>
          <w:sz w:val="32"/>
          <w:szCs w:val="32"/>
        </w:rPr>
        <w:t xml:space="preserve">  </w:t>
      </w:r>
      <w:r>
        <w:rPr>
          <w:rFonts w:hint="eastAsia" w:ascii="仿宋_GB2312" w:hAnsi="仿宋_GB2312" w:eastAsia="仿宋_GB2312" w:cs="仿宋_GB2312"/>
          <w:color w:val="000000"/>
          <w:sz w:val="32"/>
          <w:szCs w:val="32"/>
        </w:rPr>
        <w:t>违反本办法，实施危害气象设施和气象探测环境行为的，依照有关法律、法规进行处罚。</w:t>
      </w:r>
    </w:p>
    <w:p w14:paraId="72DF6CDB">
      <w:pPr>
        <w:pStyle w:val="8"/>
        <w:keepNext w:val="0"/>
        <w:keepLines w:val="0"/>
        <w:pageBreakBefore w:val="0"/>
        <w:widowControl w:val="0"/>
        <w:kinsoku/>
        <w:wordWrap/>
        <w:autoSpaceDE/>
        <w:autoSpaceDN/>
        <w:bidi w:val="0"/>
        <w:spacing w:before="0" w:beforeAutospacing="0" w:after="0" w:afterAutospacing="0" w:line="600" w:lineRule="exact"/>
        <w:ind w:firstLine="640" w:firstLineChars="200"/>
        <w:textAlignment w:val="auto"/>
        <w:rPr>
          <w:rFonts w:ascii="仿宋_GB2312" w:hAnsi="仿宋_GB2312" w:eastAsia="仿宋_GB2312" w:cs="仿宋_GB2312"/>
          <w:color w:val="333333"/>
          <w:sz w:val="32"/>
          <w:szCs w:val="32"/>
          <w:shd w:val="clear" w:color="auto" w:fill="FFFFFF"/>
        </w:rPr>
      </w:pPr>
      <w:r>
        <w:rPr>
          <w:rFonts w:hint="eastAsia" w:ascii="黑体" w:hAnsi="黑体" w:eastAsia="黑体"/>
          <w:color w:val="000000"/>
          <w:sz w:val="32"/>
          <w:szCs w:val="32"/>
        </w:rPr>
        <w:t>第二十二条</w:t>
      </w:r>
      <w:r>
        <w:rPr>
          <w:rFonts w:hint="eastAsia" w:ascii="黑体" w:hAnsi="黑体" w:eastAsia="黑体" w:cs="黑体"/>
          <w:color w:val="000000"/>
          <w:sz w:val="32"/>
          <w:szCs w:val="32"/>
        </w:rPr>
        <w:t xml:space="preserve">  </w:t>
      </w:r>
      <w:r>
        <w:rPr>
          <w:rFonts w:hint="eastAsia" w:ascii="仿宋_GB2312" w:hAnsi="仿宋_GB2312" w:eastAsia="仿宋_GB2312" w:cs="仿宋_GB2312"/>
          <w:color w:val="000000"/>
          <w:sz w:val="32"/>
          <w:szCs w:val="32"/>
        </w:rPr>
        <w:t>本办法自</w:t>
      </w:r>
      <w:r>
        <w:rPr>
          <w:rFonts w:ascii="仿宋_GB2312" w:hAnsi="仿宋_GB2312" w:eastAsia="仿宋_GB2312" w:cs="仿宋_GB2312"/>
          <w:color w:val="000000"/>
          <w:sz w:val="32"/>
          <w:szCs w:val="32"/>
        </w:rPr>
        <w:t>2025</w:t>
      </w:r>
      <w:r>
        <w:rPr>
          <w:rFonts w:hint="eastAsia" w:ascii="仿宋_GB2312" w:hAnsi="仿宋_GB2312" w:eastAsia="仿宋_GB2312" w:cs="仿宋_GB2312"/>
          <w:color w:val="000000"/>
          <w:sz w:val="32"/>
          <w:szCs w:val="32"/>
        </w:rPr>
        <w:t>年</w:t>
      </w: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月</w:t>
      </w: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日起施行。</w:t>
      </w:r>
    </w:p>
    <w:sectPr>
      <w:headerReference r:id="rId3" w:type="default"/>
      <w:footerReference r:id="rId4" w:type="default"/>
      <w:pgSz w:w="11906" w:h="16838"/>
      <w:pgMar w:top="1962" w:right="1474" w:bottom="1848"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仿宋">
    <w:altName w:val="仿宋"/>
    <w:panose1 w:val="02010600040101010101"/>
    <w:charset w:val="86"/>
    <w:family w:val="auto"/>
    <w:pitch w:val="default"/>
    <w:sig w:usb0="00000000" w:usb1="0000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76CE39">
    <w:pPr>
      <w:pStyle w:val="7"/>
      <w:ind w:left="4788" w:leftChars="2280" w:firstLine="6400" w:firstLineChars="2000"/>
      <w:rPr>
        <w:rFonts w:eastAsia="仿宋"/>
        <w:sz w:val="32"/>
        <w:szCs w:val="48"/>
      </w:rPr>
    </w:pPr>
    <w:r>
      <w:rPr>
        <w:sz w:val="32"/>
      </w:rPr>
      <w:pict>
        <v:shape id="_x0000_s2050" o:spid="_x0000_s2050"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path/>
          <v:fill on="f" focussize="0,0"/>
          <v:stroke on="f" weight="0.5pt" joinstyle="miter"/>
          <v:imagedata o:title=""/>
          <o:lock v:ext="edit"/>
          <v:textbox inset="0mm,0mm,0mm,0mm" style="mso-fit-shape-to-text:t;">
            <w:txbxContent>
              <w:p w14:paraId="5DB891E3">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v:textbox>
        </v:shape>
      </w:pict>
    </w:r>
  </w:p>
  <w:p w14:paraId="319AB3EF">
    <w:pPr>
      <w:pStyle w:val="7"/>
      <w:wordWrap w:val="0"/>
      <w:ind w:left="4788" w:leftChars="2280" w:firstLine="6400" w:firstLineChars="2000"/>
      <w:jc w:val="right"/>
      <w:rPr>
        <w:rFonts w:ascii="宋体" w:hAnsi="宋体" w:eastAsia="宋体" w:cs="宋体"/>
        <w:b/>
        <w:bCs/>
        <w:color w:val="005192"/>
        <w:sz w:val="28"/>
        <w:szCs w:val="44"/>
      </w:rPr>
    </w:pPr>
    <w:r>
      <w:rPr>
        <w:color w:val="FAFAFA"/>
        <w:sz w:val="32"/>
      </w:rPr>
      <w:pict>
        <v:line id="_x0000_s2049" o:spid="_x0000_s2049" o:spt="20" style="position:absolute;left:0pt;margin-left:0pt;margin-top:5.85pt;height:0.15pt;width:442.25pt;z-index:251660288;mso-width-relative:page;mso-height-relative:page;"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path arrowok="t"/>
          <v:fill focussize="0,0"/>
          <v:stroke weight="1.75pt" color="#005192" joinstyle="miter"/>
          <v:imagedata o:title=""/>
          <o:lock v:ext="edit"/>
        </v:line>
      </w:pict>
    </w:r>
    <w:r>
      <w:rPr>
        <w:rFonts w:hint="eastAsia" w:eastAsia="仿宋"/>
        <w:color w:val="FAFAFA"/>
        <w:sz w:val="32"/>
        <w:szCs w:val="48"/>
      </w:rPr>
      <w:t>X宝鸡市人</w:t>
    </w:r>
    <w:r>
      <w:rPr>
        <w:rFonts w:hint="eastAsia" w:ascii="宋体" w:hAnsi="宋体" w:eastAsia="宋体" w:cs="宋体"/>
        <w:b/>
        <w:bCs/>
        <w:color w:val="005192"/>
        <w:sz w:val="28"/>
        <w:szCs w:val="44"/>
      </w:rPr>
      <w:t xml:space="preserve">宝鸡市人民政府发布     </w:t>
    </w:r>
  </w:p>
  <w:p w14:paraId="7946DE5A">
    <w:pPr>
      <w:pStyle w:val="7"/>
      <w:wordWrap w:val="0"/>
      <w:ind w:left="4788" w:leftChars="2280" w:firstLine="5622" w:firstLineChars="2000"/>
      <w:jc w:val="right"/>
      <w:rPr>
        <w:rFonts w:ascii="宋体" w:hAnsi="宋体" w:eastAsia="宋体" w:cs="宋体"/>
        <w:b/>
        <w:bCs/>
        <w:color w:val="005192"/>
        <w:sz w:val="28"/>
        <w:szCs w:val="4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C989CC">
    <w:pPr>
      <w:pStyle w:val="7"/>
      <w:textAlignment w:val="center"/>
      <w:rPr>
        <w:rFonts w:ascii="宋体" w:hAnsi="宋体" w:eastAsia="宋体" w:cs="宋体"/>
        <w:b/>
        <w:bCs/>
        <w:color w:val="005192"/>
        <w:sz w:val="32"/>
      </w:rPr>
    </w:pPr>
    <w:r>
      <w:rPr>
        <w:rFonts w:ascii="宋体" w:hAnsi="宋体" w:eastAsia="宋体" w:cs="宋体"/>
        <w:b/>
        <w:bCs/>
        <w:color w:val="005192"/>
        <w:sz w:val="32"/>
      </w:rPr>
      <w:pict>
        <v:line id="_x0000_s2051" o:spid="_x0000_s2051" o:spt="20" style="position:absolute;left:0pt;margin-left:-0.3pt;margin-top:54.35pt;height:0pt;width:442.55pt;z-index:251659264;mso-width-relative:page;mso-height-relative:page;"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path arrowok="t"/>
          <v:fill focussize="0,0"/>
          <v:stroke weight="1.75pt" color="#005192" joinstyle="miter"/>
          <v:imagedata o:title=""/>
          <o:lock v:ext="edit"/>
        </v:line>
      </w:pict>
    </w:r>
  </w:p>
  <w:p w14:paraId="388AF5B2">
    <w:pPr>
      <w:pStyle w:val="7"/>
      <w:textAlignment w:val="center"/>
      <w:rPr>
        <w:rFonts w:ascii="宋体" w:hAnsi="宋体" w:eastAsia="宋体" w:cs="宋体"/>
        <w:b/>
        <w:bCs/>
        <w:color w:val="005192"/>
        <w:sz w:val="32"/>
        <w:szCs w:val="32"/>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szCs w:val="32"/>
      </w:rPr>
      <w:t>宝鸡市人民政府规章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14019D"/>
    <w:rsid w:val="00172A27"/>
    <w:rsid w:val="00236484"/>
    <w:rsid w:val="004E2158"/>
    <w:rsid w:val="005141BE"/>
    <w:rsid w:val="005E6D42"/>
    <w:rsid w:val="00667745"/>
    <w:rsid w:val="006B66AA"/>
    <w:rsid w:val="007670C8"/>
    <w:rsid w:val="008E7CB2"/>
    <w:rsid w:val="00A7526E"/>
    <w:rsid w:val="00B07D57"/>
    <w:rsid w:val="00BC3D90"/>
    <w:rsid w:val="00C75629"/>
    <w:rsid w:val="00C9440F"/>
    <w:rsid w:val="00CC7913"/>
    <w:rsid w:val="00CF1163"/>
    <w:rsid w:val="00E1298E"/>
    <w:rsid w:val="00FF5CD7"/>
    <w:rsid w:val="019E71BD"/>
    <w:rsid w:val="04B679C3"/>
    <w:rsid w:val="080F63D8"/>
    <w:rsid w:val="09341458"/>
    <w:rsid w:val="0B0912D7"/>
    <w:rsid w:val="152D2DCA"/>
    <w:rsid w:val="1DEC284C"/>
    <w:rsid w:val="1E6523AC"/>
    <w:rsid w:val="22440422"/>
    <w:rsid w:val="31A15F24"/>
    <w:rsid w:val="395347B5"/>
    <w:rsid w:val="39A232A0"/>
    <w:rsid w:val="39E745AA"/>
    <w:rsid w:val="3B5A6BBB"/>
    <w:rsid w:val="3EDA13A6"/>
    <w:rsid w:val="42F058B7"/>
    <w:rsid w:val="436109F6"/>
    <w:rsid w:val="43700A55"/>
    <w:rsid w:val="441A38D4"/>
    <w:rsid w:val="4BC77339"/>
    <w:rsid w:val="4C9236C5"/>
    <w:rsid w:val="505C172E"/>
    <w:rsid w:val="52F46F0B"/>
    <w:rsid w:val="53D8014D"/>
    <w:rsid w:val="55E064E0"/>
    <w:rsid w:val="572C6D10"/>
    <w:rsid w:val="5DC34279"/>
    <w:rsid w:val="608816D1"/>
    <w:rsid w:val="60EF4E7F"/>
    <w:rsid w:val="665233C1"/>
    <w:rsid w:val="6AD9688B"/>
    <w:rsid w:val="6D0E3F22"/>
    <w:rsid w:val="7C9011D9"/>
    <w:rsid w:val="7DC651C5"/>
    <w:rsid w:val="7FCC283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semiHidden/>
    <w:uiPriority w:val="0"/>
    <w:rPr>
      <w:rFonts w:ascii="仿宋" w:hAnsi="仿宋" w:eastAsia="仿宋" w:cs="仿宋"/>
      <w:sz w:val="43"/>
      <w:szCs w:val="43"/>
      <w:lang w:eastAsia="en-US"/>
    </w:rPr>
  </w:style>
  <w:style w:type="paragraph" w:styleId="4">
    <w:name w:val="Plain Text"/>
    <w:basedOn w:val="1"/>
    <w:link w:val="16"/>
    <w:uiPriority w:val="0"/>
    <w:rPr>
      <w:rFonts w:ascii="宋体" w:hAnsi="Courier New" w:eastAsia="宋体" w:cs="Courier New"/>
      <w:szCs w:val="21"/>
    </w:rPr>
  </w:style>
  <w:style w:type="paragraph" w:styleId="5">
    <w:name w:val="Balloon Text"/>
    <w:basedOn w:val="1"/>
    <w:link w:val="13"/>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unhideWhenUsed/>
    <w:uiPriority w:val="0"/>
    <w:pPr>
      <w:widowControl/>
      <w:spacing w:before="100" w:beforeAutospacing="1" w:after="100" w:afterAutospacing="1"/>
      <w:jc w:val="left"/>
    </w:pPr>
    <w:rPr>
      <w:rFonts w:ascii="宋体" w:hAnsi="宋体" w:eastAsia="宋体" w:cs="宋体"/>
      <w:kern w:val="0"/>
      <w:sz w:val="24"/>
    </w:rPr>
  </w:style>
  <w:style w:type="character" w:styleId="11">
    <w:name w:val="Strong"/>
    <w:basedOn w:val="10"/>
    <w:qFormat/>
    <w:uiPriority w:val="0"/>
    <w:rPr>
      <w:b/>
    </w:rPr>
  </w:style>
  <w:style w:type="character" w:styleId="12">
    <w:name w:val="annotation reference"/>
    <w:basedOn w:val="10"/>
    <w:uiPriority w:val="0"/>
    <w:rPr>
      <w:sz w:val="21"/>
      <w:szCs w:val="21"/>
    </w:rPr>
  </w:style>
  <w:style w:type="character" w:customStyle="1" w:styleId="13">
    <w:name w:val="批注框文本 Char"/>
    <w:basedOn w:val="10"/>
    <w:link w:val="5"/>
    <w:uiPriority w:val="0"/>
    <w:rPr>
      <w:rFonts w:asciiTheme="minorHAnsi" w:hAnsiTheme="minorHAnsi" w:eastAsiaTheme="minorEastAsia" w:cstheme="minorBidi"/>
      <w:kern w:val="2"/>
      <w:sz w:val="18"/>
      <w:szCs w:val="18"/>
    </w:rPr>
  </w:style>
  <w:style w:type="character" w:customStyle="1" w:styleId="14">
    <w:name w:val="fontstyle01"/>
    <w:basedOn w:val="10"/>
    <w:uiPriority w:val="0"/>
    <w:rPr>
      <w:rFonts w:ascii="黑体" w:hAnsi="黑体" w:eastAsia="黑体" w:cs="Times New Roman"/>
      <w:color w:val="000000"/>
      <w:sz w:val="32"/>
      <w:szCs w:val="32"/>
    </w:rPr>
  </w:style>
  <w:style w:type="character" w:customStyle="1" w:styleId="15">
    <w:name w:val="fontstyle21"/>
    <w:basedOn w:val="10"/>
    <w:uiPriority w:val="0"/>
    <w:rPr>
      <w:rFonts w:ascii="仿宋" w:eastAsia="仿宋" w:cs="Times New Roman"/>
      <w:color w:val="000000"/>
      <w:sz w:val="32"/>
      <w:szCs w:val="32"/>
    </w:rPr>
  </w:style>
  <w:style w:type="character" w:customStyle="1" w:styleId="16">
    <w:name w:val="纯文本 Char"/>
    <w:basedOn w:val="10"/>
    <w:link w:val="4"/>
    <w:uiPriority w:val="0"/>
    <w:rPr>
      <w:rFonts w:ascii="宋体" w:hAnsi="Courier New" w:cs="Courier New"/>
      <w:kern w:val="2"/>
      <w:sz w:val="21"/>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51"/>
    <customShpInfo spid="_x0000_s2050"/>
    <customShpInfo spid="_x0000_s204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E6E109C-F70E-4EB1-92D8-4CDDAFAB0848}">
  <ds:schemaRefs/>
</ds:datastoreItem>
</file>

<file path=docProps/app.xml><?xml version="1.0" encoding="utf-8"?>
<Properties xmlns="http://schemas.openxmlformats.org/officeDocument/2006/extended-properties" xmlns:vt="http://schemas.openxmlformats.org/officeDocument/2006/docPropsVTypes">
  <Template>Normal.dotm</Template>
  <Pages>8</Pages>
  <Words>5953</Words>
  <Characters>5974</Characters>
  <Lines>44</Lines>
  <Paragraphs>12</Paragraphs>
  <TotalTime>0</TotalTime>
  <ScaleCrop>false</ScaleCrop>
  <LinksUpToDate>false</LinksUpToDate>
  <CharactersWithSpaces>6111</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〆、______浩仪</cp:lastModifiedBy>
  <cp:lastPrinted>2021-10-26T03:30:00Z</cp:lastPrinted>
  <dcterms:modified xsi:type="dcterms:W3CDTF">2024-12-31T01:17:40Z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48C61CB29D3F4D9384F5922CF0F7FFB4</vt:lpwstr>
  </property>
  <property fmtid="{D5CDD505-2E9C-101B-9397-08002B2CF9AE}" pid="4" name="KSOTemplateDocerSaveRecord">
    <vt:lpwstr>eyJoZGlkIjoiYjUyZGMxOWUwOTc0ZjI5NTJhOTMzMmMwYjliNzM5MmYiLCJ1c2VySWQiOiIyMDM1NTc1OTYifQ==</vt:lpwstr>
  </property>
</Properties>
</file>