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CD7" w:rsidRDefault="00FF5CD7">
      <w:pPr>
        <w:jc w:val="center"/>
        <w:rPr>
          <w:rFonts w:asciiTheme="minorEastAsia" w:hAnsiTheme="minorEastAsia" w:cstheme="minorEastAsia"/>
          <w:sz w:val="44"/>
          <w:szCs w:val="44"/>
        </w:rPr>
      </w:pPr>
    </w:p>
    <w:p w:rsidR="00FF5CD7" w:rsidRDefault="00FF5CD7">
      <w:pPr>
        <w:rPr>
          <w:rFonts w:asciiTheme="minorEastAsia" w:hAnsiTheme="minorEastAsia" w:cstheme="minorEastAsia"/>
          <w:sz w:val="44"/>
          <w:szCs w:val="44"/>
        </w:rPr>
      </w:pPr>
    </w:p>
    <w:p w:rsidR="00FF5CD7" w:rsidRDefault="00EC38D7">
      <w:pPr>
        <w:jc w:val="center"/>
        <w:rPr>
          <w:rFonts w:ascii="宋体" w:eastAsia="宋体" w:hAnsi="宋体" w:cs="宋体"/>
          <w:sz w:val="36"/>
          <w:szCs w:val="36"/>
          <w:shd w:val="clear" w:color="auto" w:fill="FFFFFF"/>
        </w:rPr>
      </w:pPr>
      <w:r w:rsidRPr="00EC38D7">
        <w:rPr>
          <w:rFonts w:asciiTheme="minorEastAsia" w:hAnsiTheme="minorEastAsia" w:cstheme="minorEastAsia" w:hint="eastAsia"/>
          <w:sz w:val="44"/>
          <w:szCs w:val="44"/>
        </w:rPr>
        <w:t>周原遗址保护管理办法</w:t>
      </w:r>
    </w:p>
    <w:p w:rsidR="00FF5CD7" w:rsidRDefault="00480561" w:rsidP="00480561">
      <w:pPr>
        <w:ind w:firstLineChars="200" w:firstLine="640"/>
        <w:rPr>
          <w:rFonts w:ascii="楷体_GB2312" w:eastAsia="楷体_GB2312" w:hAnsi="楷体_GB2312" w:cs="楷体_GB2312"/>
          <w:color w:val="333333"/>
          <w:sz w:val="32"/>
          <w:szCs w:val="32"/>
          <w:shd w:val="clear" w:color="auto" w:fill="FFFFFF"/>
        </w:rPr>
      </w:pPr>
      <w:r w:rsidRPr="00480561">
        <w:rPr>
          <w:rFonts w:ascii="楷体_GB2312" w:eastAsia="楷体_GB2312" w:hAnsi="楷体_GB2312" w:cs="楷体_GB2312" w:hint="eastAsia"/>
          <w:color w:val="333333"/>
          <w:sz w:val="32"/>
          <w:szCs w:val="32"/>
          <w:shd w:val="clear" w:color="auto" w:fill="FFFFFF"/>
        </w:rPr>
        <w:t>(</w:t>
      </w:r>
      <w:r w:rsidR="00EC38D7" w:rsidRPr="00EC38D7">
        <w:rPr>
          <w:rFonts w:ascii="楷体_GB2312" w:eastAsia="楷体_GB2312" w:hAnsi="楷体_GB2312" w:cs="楷体_GB2312" w:hint="eastAsia"/>
          <w:color w:val="333333"/>
          <w:sz w:val="32"/>
          <w:szCs w:val="32"/>
          <w:shd w:val="clear" w:color="auto" w:fill="FFFFFF"/>
        </w:rPr>
        <w:t>2022年10月13日宝鸡市人民政府令第77号公布 自2022年12月1日起施行</w:t>
      </w:r>
      <w:r w:rsidRPr="00480561">
        <w:rPr>
          <w:rFonts w:ascii="楷体_GB2312" w:eastAsia="楷体_GB2312" w:hAnsi="楷体_GB2312" w:cs="楷体_GB2312" w:hint="eastAsia"/>
          <w:color w:val="333333"/>
          <w:sz w:val="32"/>
          <w:szCs w:val="32"/>
          <w:shd w:val="clear" w:color="auto" w:fill="FFFFFF"/>
        </w:rPr>
        <w:t>)</w:t>
      </w:r>
    </w:p>
    <w:p w:rsidR="00480561" w:rsidRPr="00480561" w:rsidRDefault="00480561" w:rsidP="00480561">
      <w:pPr>
        <w:ind w:firstLineChars="200" w:firstLine="640"/>
        <w:jc w:val="left"/>
        <w:rPr>
          <w:rFonts w:ascii="黑体" w:eastAsia="黑体" w:hAnsi="黑体" w:cs="黑体"/>
          <w:color w:val="333333"/>
          <w:sz w:val="32"/>
          <w:szCs w:val="32"/>
          <w:shd w:val="clear" w:color="auto" w:fill="FFFFFF"/>
        </w:rPr>
      </w:pPr>
    </w:p>
    <w:p w:rsidR="00480561" w:rsidRPr="00480561" w:rsidRDefault="00480561" w:rsidP="00480561">
      <w:pPr>
        <w:ind w:firstLineChars="200" w:firstLine="640"/>
        <w:jc w:val="left"/>
        <w:rPr>
          <w:rFonts w:ascii="仿宋_GB2312" w:eastAsia="仿宋_GB2312" w:hAnsi="黑体" w:cs="黑体"/>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第一条</w:t>
      </w:r>
      <w:r w:rsidRPr="00480561">
        <w:rPr>
          <w:rFonts w:ascii="仿宋_GB2312" w:eastAsia="仿宋_GB2312" w:hAnsi="黑体" w:cs="黑体" w:hint="eastAsia"/>
          <w:color w:val="333333"/>
          <w:sz w:val="32"/>
          <w:szCs w:val="32"/>
          <w:shd w:val="clear" w:color="auto" w:fill="FFFFFF"/>
        </w:rPr>
        <w:t xml:space="preserve">  </w:t>
      </w:r>
      <w:r w:rsidR="00EC38D7" w:rsidRPr="00EC38D7">
        <w:rPr>
          <w:rFonts w:ascii="仿宋_GB2312" w:eastAsia="仿宋_GB2312" w:hAnsi="黑体" w:cs="黑体" w:hint="eastAsia"/>
          <w:color w:val="333333"/>
          <w:sz w:val="32"/>
          <w:szCs w:val="32"/>
          <w:shd w:val="clear" w:color="auto" w:fill="FFFFFF"/>
        </w:rPr>
        <w:t>为了加强对周原遗址的保护和管理，确保周原遗址的真实性和完整性，进一步做好文物利用工作，根据《中华人民共和国文物保护法》《中华人民共和国文物保护法实施条例》《陕西省文物保护条例》等有关法律法规规定，结合实际，制定本办法。</w:t>
      </w:r>
    </w:p>
    <w:p w:rsidR="00EC38D7" w:rsidRPr="00EC38D7" w:rsidRDefault="00480561" w:rsidP="00EC38D7">
      <w:pPr>
        <w:ind w:firstLineChars="200" w:firstLine="640"/>
        <w:jc w:val="left"/>
        <w:rPr>
          <w:rFonts w:ascii="仿宋_GB2312" w:eastAsia="仿宋_GB2312" w:hAnsi="黑体" w:cs="黑体" w:hint="eastAsia"/>
          <w:color w:val="333333"/>
          <w:sz w:val="32"/>
          <w:szCs w:val="32"/>
          <w:shd w:val="clear" w:color="auto" w:fill="FFFFFF"/>
        </w:rPr>
      </w:pPr>
      <w:r w:rsidRPr="00480561">
        <w:rPr>
          <w:rFonts w:ascii="黑体" w:eastAsia="黑体" w:hAnsi="黑体" w:cs="黑体" w:hint="eastAsia"/>
          <w:color w:val="333333"/>
          <w:sz w:val="32"/>
          <w:szCs w:val="32"/>
          <w:shd w:val="clear" w:color="auto" w:fill="FFFFFF"/>
        </w:rPr>
        <w:t xml:space="preserve">第二条 </w:t>
      </w:r>
      <w:r w:rsidRPr="00480561">
        <w:rPr>
          <w:rFonts w:ascii="仿宋_GB2312" w:eastAsia="仿宋_GB2312" w:hAnsi="黑体" w:cs="黑体" w:hint="eastAsia"/>
          <w:color w:val="333333"/>
          <w:sz w:val="32"/>
          <w:szCs w:val="32"/>
          <w:shd w:val="clear" w:color="auto" w:fill="FFFFFF"/>
        </w:rPr>
        <w:t xml:space="preserve"> </w:t>
      </w:r>
      <w:r w:rsidR="00EC38D7" w:rsidRPr="00EC38D7">
        <w:rPr>
          <w:rFonts w:ascii="仿宋_GB2312" w:eastAsia="仿宋_GB2312" w:hAnsi="黑体" w:cs="黑体" w:hint="eastAsia"/>
          <w:color w:val="333333"/>
          <w:sz w:val="32"/>
          <w:szCs w:val="32"/>
          <w:shd w:val="clear" w:color="auto" w:fill="FFFFFF"/>
        </w:rPr>
        <w:t>本办法适用于周原遗址范围内的文物保护、考古发掘、研究展示、开发利用、生产生活、参观游览等活动。</w:t>
      </w:r>
    </w:p>
    <w:p w:rsidR="00480561" w:rsidRPr="00480561" w:rsidRDefault="00EC38D7" w:rsidP="00EC38D7">
      <w:pPr>
        <w:ind w:firstLineChars="200" w:firstLine="640"/>
        <w:jc w:val="left"/>
        <w:rPr>
          <w:rFonts w:ascii="仿宋_GB2312" w:eastAsia="仿宋_GB2312" w:hAnsi="黑体" w:cs="黑体"/>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本办法所称周原遗址，是指位于宝鸡市岐山县、扶风县行政区域内，经国务院公布的全国重点文物保护单位。</w:t>
      </w:r>
    </w:p>
    <w:p w:rsidR="00480561" w:rsidRPr="00480561" w:rsidRDefault="00480561" w:rsidP="00480561">
      <w:pPr>
        <w:ind w:firstLineChars="200" w:firstLine="640"/>
        <w:jc w:val="left"/>
        <w:rPr>
          <w:rFonts w:ascii="仿宋_GB2312" w:eastAsia="仿宋_GB2312" w:hAnsi="黑体" w:cs="黑体"/>
          <w:color w:val="333333"/>
          <w:sz w:val="32"/>
          <w:szCs w:val="32"/>
          <w:shd w:val="clear" w:color="auto" w:fill="FFFFFF"/>
        </w:rPr>
      </w:pPr>
      <w:r w:rsidRPr="00480561">
        <w:rPr>
          <w:rFonts w:ascii="黑体" w:eastAsia="黑体" w:hAnsi="黑体" w:cs="黑体" w:hint="eastAsia"/>
          <w:color w:val="333333"/>
          <w:sz w:val="32"/>
          <w:szCs w:val="32"/>
          <w:shd w:val="clear" w:color="auto" w:fill="FFFFFF"/>
        </w:rPr>
        <w:t>第三条</w:t>
      </w:r>
      <w:r w:rsidRPr="00480561">
        <w:rPr>
          <w:rFonts w:ascii="仿宋_GB2312" w:eastAsia="仿宋_GB2312" w:hAnsi="黑体" w:cs="黑体" w:hint="eastAsia"/>
          <w:color w:val="333333"/>
          <w:sz w:val="32"/>
          <w:szCs w:val="32"/>
          <w:shd w:val="clear" w:color="auto" w:fill="FFFFFF"/>
        </w:rPr>
        <w:t xml:space="preserve">  </w:t>
      </w:r>
      <w:r w:rsidR="00EC38D7" w:rsidRPr="00EC38D7">
        <w:rPr>
          <w:rFonts w:ascii="仿宋_GB2312" w:eastAsia="仿宋_GB2312" w:hAnsi="黑体" w:cs="黑体" w:hint="eastAsia"/>
          <w:color w:val="333333"/>
          <w:sz w:val="32"/>
          <w:szCs w:val="32"/>
          <w:shd w:val="clear" w:color="auto" w:fill="FFFFFF"/>
        </w:rPr>
        <w:t>周原遗址保护坚持“保护第一、加强管理、挖掘价值、有效利用、让文物活起来”的方针，正确处理文物保护与建设规划、旅游发展、群众生产生活的关系，确保周原遗址的真实性、完整性。</w:t>
      </w:r>
    </w:p>
    <w:p w:rsidR="00EC38D7" w:rsidRPr="00EC38D7" w:rsidRDefault="00EC38D7" w:rsidP="00EC38D7">
      <w:pPr>
        <w:ind w:firstLineChars="200" w:firstLine="640"/>
        <w:jc w:val="left"/>
        <w:rPr>
          <w:rFonts w:ascii="黑体" w:eastAsia="黑体"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lastRenderedPageBreak/>
        <w:t xml:space="preserve">第四条　</w:t>
      </w:r>
      <w:r w:rsidRPr="00EC38D7">
        <w:rPr>
          <w:rFonts w:ascii="仿宋_GB2312" w:eastAsia="仿宋_GB2312" w:hAnsi="黑体" w:cs="黑体" w:hint="eastAsia"/>
          <w:color w:val="333333"/>
          <w:sz w:val="32"/>
          <w:szCs w:val="32"/>
          <w:shd w:val="clear" w:color="auto" w:fill="FFFFFF"/>
        </w:rPr>
        <w:t>周原遗址及其所属文物归国家所有，任何单位和个人不得侵占、损害和非法交易。自然人、法人和非法人组织都有保护文物的义务，对损害、破坏遗址及其历史风貌、自然环境的行为有权进行阻止和举报。</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第五条　</w:t>
      </w:r>
      <w:r w:rsidRPr="00EC38D7">
        <w:rPr>
          <w:rFonts w:ascii="仿宋_GB2312" w:eastAsia="仿宋_GB2312" w:hAnsi="黑体" w:cs="黑体" w:hint="eastAsia"/>
          <w:color w:val="333333"/>
          <w:sz w:val="32"/>
          <w:szCs w:val="32"/>
          <w:shd w:val="clear" w:color="auto" w:fill="FFFFFF"/>
        </w:rPr>
        <w:t>市人民政府统筹周原遗址的文物保护利用工作，建立健全市县联动的周原遗址保护管理机制，协调解决周原遗址保护利用工作中的重大问题，以及跨县域行政区划保护利用问题。</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遗址所在县人民政府应当按照管辖区域，在各自职责范围内，加强对保护工作的具体领导，研究解决保护工作中的困难和问题，正确处理文物保护与建设规划、旅游发展、群众生产生活的关系。</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涉及周原遗址保护的镇人民政府协助做好周原遗址保护工作。</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第六条　</w:t>
      </w:r>
      <w:r w:rsidRPr="00EC38D7">
        <w:rPr>
          <w:rFonts w:ascii="仿宋_GB2312" w:eastAsia="仿宋_GB2312" w:hAnsi="黑体" w:cs="黑体" w:hint="eastAsia"/>
          <w:color w:val="333333"/>
          <w:sz w:val="32"/>
          <w:szCs w:val="32"/>
          <w:shd w:val="clear" w:color="auto" w:fill="FFFFFF"/>
        </w:rPr>
        <w:t>市文物行政主管部门负责对周原遗址保护实施监督管理。市发改、公安、财政、人社、自然资源和规划、生态环境、住建、交通运输、水利、农业农村、文旅、行政审批、林业等有关部门应当按照各自职责，协同做好保护工作。</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遗址所在县人民政府文物行政主管部门对保护工作实施监督，负责保护区内的文物行政执法工作。</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lastRenderedPageBreak/>
        <w:t>遗址所在县发改、公安、财政、人社、自然资源和规划、生态环境、住建、交通运输、水利、农业农村、文旅、行政审批、林业等有关部门应当按照各自职责，协同做好保护工作。</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第七条　</w:t>
      </w:r>
      <w:r w:rsidRPr="00EC38D7">
        <w:rPr>
          <w:rFonts w:ascii="仿宋_GB2312" w:eastAsia="仿宋_GB2312" w:hAnsi="黑体" w:cs="黑体" w:hint="eastAsia"/>
          <w:color w:val="333333"/>
          <w:sz w:val="32"/>
          <w:szCs w:val="32"/>
          <w:shd w:val="clear" w:color="auto" w:fill="FFFFFF"/>
        </w:rPr>
        <w:t>市人民政府、遗址所在县人民政府应当设置遗址管理机构，负责周原遗址的日常管理工作。</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第八条　</w:t>
      </w:r>
      <w:r w:rsidRPr="00EC38D7">
        <w:rPr>
          <w:rFonts w:ascii="仿宋_GB2312" w:eastAsia="仿宋_GB2312" w:hAnsi="黑体" w:cs="黑体" w:hint="eastAsia"/>
          <w:color w:val="333333"/>
          <w:sz w:val="32"/>
          <w:szCs w:val="32"/>
          <w:shd w:val="clear" w:color="auto" w:fill="FFFFFF"/>
        </w:rPr>
        <w:t>市人民政府、遗址所在县人民政府应当将周原遗址保护管理纳入国民经济和社会发展规划及国土空间规划。</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编制保护规划应当征求有关专家的意见，并与当地国土空间规划相衔接。应当由规划编制组织单位报省文物行政部门会同建设规划等部门组织评审，经省人民政府同意后报国务院文物行政主管部门批准。</w:t>
      </w:r>
    </w:p>
    <w:p w:rsidR="00EC38D7" w:rsidRPr="00EC38D7" w:rsidRDefault="00EC38D7" w:rsidP="00EC38D7">
      <w:pPr>
        <w:ind w:firstLineChars="200" w:firstLine="640"/>
        <w:jc w:val="left"/>
        <w:rPr>
          <w:rFonts w:ascii="黑体" w:eastAsia="黑体"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第九条　</w:t>
      </w:r>
      <w:r w:rsidRPr="00EC38D7">
        <w:rPr>
          <w:rFonts w:ascii="仿宋_GB2312" w:eastAsia="仿宋_GB2312" w:hAnsi="黑体" w:cs="黑体" w:hint="eastAsia"/>
          <w:color w:val="333333"/>
          <w:sz w:val="32"/>
          <w:szCs w:val="32"/>
          <w:shd w:val="clear" w:color="auto" w:fill="FFFFFF"/>
        </w:rPr>
        <w:t>周原遗址保护经费纳入财政预算。</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第十条　</w:t>
      </w:r>
      <w:r w:rsidRPr="00EC38D7">
        <w:rPr>
          <w:rFonts w:ascii="仿宋_GB2312" w:eastAsia="仿宋_GB2312" w:hAnsi="黑体" w:cs="黑体" w:hint="eastAsia"/>
          <w:color w:val="333333"/>
          <w:sz w:val="32"/>
          <w:szCs w:val="32"/>
          <w:shd w:val="clear" w:color="auto" w:fill="FFFFFF"/>
        </w:rPr>
        <w:t>在周原遗址保护范围内实施下列文物保护工程，应当制定文物保护工程方案，并履行报批手续：</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（一）新建、改建、扩建文物保护设施；</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（二）实施修缮、保养文物工程；</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（三）铺设通讯、供电、供水、排水等管线；</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（四）设置防火、防雷、防盗设施和修建防洪工程；</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（五）其他文物保护的建设工程。</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lastRenderedPageBreak/>
        <w:t>周原遗址保护工程方案，由市文物行政主管部门报省文物行政主管部门审核后，报国务院文物行政主管部门审批。</w:t>
      </w:r>
    </w:p>
    <w:p w:rsidR="00EC38D7" w:rsidRPr="00EC38D7" w:rsidRDefault="00EC38D7" w:rsidP="00EC38D7">
      <w:pPr>
        <w:ind w:firstLineChars="200" w:firstLine="640"/>
        <w:jc w:val="left"/>
        <w:rPr>
          <w:rFonts w:ascii="黑体" w:eastAsia="黑体"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第十一条 </w:t>
      </w:r>
      <w:r w:rsidRPr="00EC38D7">
        <w:rPr>
          <w:rFonts w:ascii="仿宋_GB2312" w:eastAsia="仿宋_GB2312" w:hAnsi="黑体" w:cs="黑体" w:hint="eastAsia"/>
          <w:color w:val="333333"/>
          <w:sz w:val="32"/>
          <w:szCs w:val="32"/>
          <w:shd w:val="clear" w:color="auto" w:fill="FFFFFF"/>
        </w:rPr>
        <w:t>在周原遗址建设控制地带内进行工程建设前，应当进行考古勘探和环境影响评价，并依法履行报批手续。</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第十二条 </w:t>
      </w:r>
      <w:r w:rsidRPr="00EC38D7">
        <w:rPr>
          <w:rFonts w:ascii="仿宋_GB2312" w:eastAsia="仿宋_GB2312" w:hAnsi="黑体" w:cs="黑体" w:hint="eastAsia"/>
          <w:color w:val="333333"/>
          <w:sz w:val="32"/>
          <w:szCs w:val="32"/>
          <w:shd w:val="clear" w:color="auto" w:fill="FFFFFF"/>
        </w:rPr>
        <w:t>在周原遗址保护范围内进行的考古调查与考古发掘项目，必须履行有关报批程序，当地文物行政主管部门应当核验考古发掘批准文件和考古发掘资质、资格证书以及省文物行政主管部门的相关文件。对周原遗址的考古调查和考古发掘应当征求遗址管理机构的意见。</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第十三条　</w:t>
      </w:r>
      <w:r w:rsidRPr="00EC38D7">
        <w:rPr>
          <w:rFonts w:ascii="仿宋_GB2312" w:eastAsia="仿宋_GB2312" w:hAnsi="黑体" w:cs="黑体" w:hint="eastAsia"/>
          <w:color w:val="333333"/>
          <w:sz w:val="32"/>
          <w:szCs w:val="32"/>
          <w:shd w:val="clear" w:color="auto" w:fill="FFFFFF"/>
        </w:rPr>
        <w:t>周原遗址保护范围内村组应当自觉保护文物。遗址所在县人民政府根据工作需要可建立群众性的文物保护组织或文物保护员队伍。</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第十四条　</w:t>
      </w:r>
      <w:r w:rsidRPr="00EC38D7">
        <w:rPr>
          <w:rFonts w:ascii="仿宋_GB2312" w:eastAsia="仿宋_GB2312" w:hAnsi="黑体" w:cs="黑体" w:hint="eastAsia"/>
          <w:color w:val="333333"/>
          <w:sz w:val="32"/>
          <w:szCs w:val="32"/>
          <w:shd w:val="clear" w:color="auto" w:fill="FFFFFF"/>
        </w:rPr>
        <w:t>除法律、法规另有规定外，在周原遗址保护范围内禁止下列行为：</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（一）在文物和文物保护单位标志上刻画、涂画、张贴；</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（二）排放污水、挖砂取土取石、修建坟墓、堆放垃圾和其他可能损害文物安全的行为；</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（三）存储易燃、易爆等危险物品；</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仿宋_GB2312" w:eastAsia="仿宋_GB2312" w:hAnsi="黑体" w:cs="黑体" w:hint="eastAsia"/>
          <w:color w:val="333333"/>
          <w:sz w:val="32"/>
          <w:szCs w:val="32"/>
          <w:shd w:val="clear" w:color="auto" w:fill="FFFFFF"/>
        </w:rPr>
        <w:t>（四）设置户外广告设施，修建人造景点和其他与文物保护</w:t>
      </w:r>
      <w:r w:rsidRPr="00EC38D7">
        <w:rPr>
          <w:rFonts w:ascii="仿宋_GB2312" w:eastAsia="仿宋_GB2312" w:hAnsi="黑体" w:cs="黑体" w:hint="eastAsia"/>
          <w:color w:val="333333"/>
          <w:sz w:val="32"/>
          <w:szCs w:val="32"/>
          <w:shd w:val="clear" w:color="auto" w:fill="FFFFFF"/>
        </w:rPr>
        <w:lastRenderedPageBreak/>
        <w:t>无关的工程。</w:t>
      </w:r>
    </w:p>
    <w:p w:rsidR="00EC38D7" w:rsidRPr="00EC38D7" w:rsidRDefault="00EC38D7" w:rsidP="00EC38D7">
      <w:pPr>
        <w:ind w:firstLineChars="200" w:firstLine="640"/>
        <w:jc w:val="left"/>
        <w:rPr>
          <w:rFonts w:ascii="仿宋_GB2312" w:eastAsia="仿宋_GB2312" w:hAnsi="黑体" w:cs="黑体" w:hint="eastAsia"/>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第十五条　</w:t>
      </w:r>
      <w:r w:rsidRPr="00EC38D7">
        <w:rPr>
          <w:rFonts w:ascii="仿宋_GB2312" w:eastAsia="仿宋_GB2312" w:hAnsi="黑体" w:cs="黑体" w:hint="eastAsia"/>
          <w:color w:val="333333"/>
          <w:sz w:val="32"/>
          <w:szCs w:val="32"/>
          <w:shd w:val="clear" w:color="auto" w:fill="FFFFFF"/>
        </w:rPr>
        <w:t>违反本办法规定的行为，法律、法规已有处罚规定的，从其规定。</w:t>
      </w:r>
    </w:p>
    <w:p w:rsidR="00FF5CD7" w:rsidRPr="00EC38D7" w:rsidRDefault="00EC38D7" w:rsidP="00EC38D7">
      <w:pPr>
        <w:ind w:firstLineChars="200" w:firstLine="640"/>
        <w:jc w:val="left"/>
        <w:rPr>
          <w:rFonts w:ascii="仿宋_GB2312" w:eastAsia="仿宋_GB2312" w:hAnsi="黑体" w:cs="黑体"/>
          <w:color w:val="333333"/>
          <w:sz w:val="32"/>
          <w:szCs w:val="32"/>
          <w:shd w:val="clear" w:color="auto" w:fill="FFFFFF"/>
        </w:rPr>
      </w:pPr>
      <w:r w:rsidRPr="00EC38D7">
        <w:rPr>
          <w:rFonts w:ascii="黑体" w:eastAsia="黑体" w:hAnsi="黑体" w:cs="黑体" w:hint="eastAsia"/>
          <w:color w:val="333333"/>
          <w:sz w:val="32"/>
          <w:szCs w:val="32"/>
          <w:shd w:val="clear" w:color="auto" w:fill="FFFFFF"/>
        </w:rPr>
        <w:t xml:space="preserve">第十六条　</w:t>
      </w:r>
      <w:r w:rsidRPr="00EC38D7">
        <w:rPr>
          <w:rFonts w:ascii="仿宋_GB2312" w:eastAsia="仿宋_GB2312" w:hAnsi="黑体" w:cs="黑体" w:hint="eastAsia"/>
          <w:color w:val="333333"/>
          <w:sz w:val="32"/>
          <w:szCs w:val="32"/>
          <w:shd w:val="clear" w:color="auto" w:fill="FFFFFF"/>
        </w:rPr>
        <w:t>本办法自2022年12月1日起施行。2018年4月18日市人民政府发布的《周原遗址保护管理办法》(宝鸡市人民政府令第72号)同时废止。</w:t>
      </w:r>
    </w:p>
    <w:sectPr w:rsidR="00FF5CD7" w:rsidRPr="00EC38D7" w:rsidSect="00FF5CD7">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079" w:rsidRDefault="00B72079" w:rsidP="00FF5CD7">
      <w:r>
        <w:separator/>
      </w:r>
    </w:p>
  </w:endnote>
  <w:endnote w:type="continuationSeparator" w:id="1">
    <w:p w:rsidR="00B72079" w:rsidRDefault="00B72079" w:rsidP="00FF5C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D22DEC">
    <w:pPr>
      <w:pStyle w:val="a5"/>
      <w:ind w:leftChars="2280" w:left="4788" w:firstLineChars="2000" w:firstLine="6400"/>
      <w:rPr>
        <w:rFonts w:eastAsia="仿宋"/>
        <w:sz w:val="32"/>
        <w:szCs w:val="48"/>
      </w:rPr>
    </w:pPr>
    <w:r w:rsidRPr="00D22DEC">
      <w:rPr>
        <w:sz w:val="32"/>
      </w:rPr>
      <w:pict>
        <v:shapetype id="_x0000_t202" coordsize="21600,21600" o:spt="202" path="m,l,21600r21600,l21600,xe">
          <v:stroke joinstyle="miter"/>
          <v:path gradientshapeok="t" o:connecttype="rect"/>
        </v:shapetype>
        <v:shape id="_x0000_s2050" type="#_x0000_t202" style="position:absolute;left:0;text-align:left;margin-left:520pt;margin-top:0;width:2in;height:2in;z-index:251662336;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FF5CD7" w:rsidRDefault="00D22DEC">
                <w:pPr>
                  <w:pStyle w:val="a4"/>
                </w:pPr>
                <w:r>
                  <w:rPr>
                    <w:rFonts w:ascii="宋体" w:eastAsia="宋体" w:hAnsi="宋体" w:cs="宋体" w:hint="eastAsia"/>
                    <w:sz w:val="28"/>
                    <w:szCs w:val="28"/>
                  </w:rPr>
                  <w:fldChar w:fldCharType="begin"/>
                </w:r>
                <w:r w:rsidR="00BC3D90">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EC38D7">
                  <w:rPr>
                    <w:rFonts w:ascii="宋体" w:eastAsia="宋体" w:hAnsi="宋体" w:cs="宋体"/>
                    <w:noProof/>
                    <w:sz w:val="28"/>
                    <w:szCs w:val="28"/>
                  </w:rPr>
                  <w:t>- 1 -</w:t>
                </w:r>
                <w:r>
                  <w:rPr>
                    <w:rFonts w:ascii="宋体" w:eastAsia="宋体" w:hAnsi="宋体" w:cs="宋体" w:hint="eastAsia"/>
                    <w:sz w:val="28"/>
                    <w:szCs w:val="28"/>
                  </w:rPr>
                  <w:fldChar w:fldCharType="end"/>
                </w:r>
              </w:p>
            </w:txbxContent>
          </v:textbox>
          <w10:wrap anchorx="margin"/>
        </v:shape>
      </w:pict>
    </w:r>
  </w:p>
  <w:p w:rsidR="00FF5CD7" w:rsidRDefault="00D22DEC">
    <w:pPr>
      <w:pStyle w:val="a5"/>
      <w:wordWrap w:val="0"/>
      <w:ind w:leftChars="2280" w:left="4788" w:firstLineChars="2000" w:firstLine="6400"/>
      <w:jc w:val="right"/>
      <w:rPr>
        <w:rFonts w:ascii="宋体" w:eastAsia="宋体" w:hAnsi="宋体" w:cs="宋体"/>
        <w:b/>
        <w:bCs/>
        <w:color w:val="005192"/>
        <w:sz w:val="28"/>
        <w:szCs w:val="44"/>
      </w:rPr>
    </w:pPr>
    <w:r w:rsidRPr="00D22DEC">
      <w:rPr>
        <w:color w:val="FAFAFA"/>
        <w:sz w:val="32"/>
      </w:rPr>
      <w:pict>
        <v:line id="_x0000_s2049" style="position:absolute;left:0;text-align:left;z-index:251661312" from="0,5.85pt" to="442.25pt,6pt"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strokecolor="#005192" strokeweight="1.75pt">
          <v:stroke joinstyle="miter"/>
        </v:line>
      </w:pict>
    </w:r>
    <w:r w:rsidR="00BC3D90">
      <w:rPr>
        <w:rFonts w:eastAsia="仿宋" w:hint="eastAsia"/>
        <w:color w:val="FAFAFA"/>
        <w:sz w:val="32"/>
        <w:szCs w:val="48"/>
      </w:rPr>
      <w:t>X</w:t>
    </w:r>
    <w:r w:rsidR="00C75629">
      <w:rPr>
        <w:rFonts w:eastAsia="仿宋" w:hint="eastAsia"/>
        <w:color w:val="FAFAFA"/>
        <w:sz w:val="32"/>
        <w:szCs w:val="48"/>
      </w:rPr>
      <w:t>宝鸡市人</w:t>
    </w:r>
    <w:r w:rsidR="00C75629">
      <w:rPr>
        <w:rFonts w:ascii="宋体" w:eastAsia="宋体" w:hAnsi="宋体" w:cs="宋体" w:hint="eastAsia"/>
        <w:b/>
        <w:bCs/>
        <w:color w:val="005192"/>
        <w:sz w:val="28"/>
        <w:szCs w:val="44"/>
      </w:rPr>
      <w:t>宝鸡市人民政府发</w:t>
    </w:r>
    <w:r w:rsidR="00BC3D90">
      <w:rPr>
        <w:rFonts w:ascii="宋体" w:eastAsia="宋体" w:hAnsi="宋体" w:cs="宋体" w:hint="eastAsia"/>
        <w:b/>
        <w:bCs/>
        <w:color w:val="005192"/>
        <w:sz w:val="28"/>
        <w:szCs w:val="44"/>
      </w:rPr>
      <w:t xml:space="preserve">布     </w:t>
    </w:r>
  </w:p>
  <w:p w:rsidR="00FF5CD7" w:rsidRDefault="00FF5CD7">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079" w:rsidRDefault="00B72079" w:rsidP="00FF5CD7">
      <w:r>
        <w:separator/>
      </w:r>
    </w:p>
  </w:footnote>
  <w:footnote w:type="continuationSeparator" w:id="1">
    <w:p w:rsidR="00B72079" w:rsidRDefault="00B72079" w:rsidP="00FF5C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7" w:rsidRDefault="00D22DEC">
    <w:pPr>
      <w:pStyle w:val="a5"/>
      <w:textAlignment w:val="center"/>
      <w:rPr>
        <w:rFonts w:ascii="宋体" w:eastAsia="宋体" w:hAnsi="宋体" w:cs="宋体"/>
        <w:b/>
        <w:bCs/>
        <w:color w:val="005192"/>
        <w:sz w:val="32"/>
      </w:rPr>
    </w:pPr>
    <w:r>
      <w:rPr>
        <w:rFonts w:ascii="宋体" w:eastAsia="宋体" w:hAnsi="宋体" w:cs="宋体"/>
        <w:b/>
        <w:bCs/>
        <w:color w:val="005192"/>
        <w:sz w:val="32"/>
      </w:rPr>
      <w:pict>
        <v:line id="_x0000_s2051" style="position:absolute;left:0;text-align:left;z-index:251660288" from="-.3pt,54.35pt" to="442.25pt,54.35pt"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strokecolor="#005192" strokeweight="1.75pt">
          <v:stroke joinstyle="miter"/>
        </v:line>
      </w:pict>
    </w:r>
  </w:p>
  <w:p w:rsidR="00FF5CD7" w:rsidRDefault="00BC3D90">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sidR="00667745">
      <w:rPr>
        <w:rFonts w:ascii="宋体" w:eastAsia="宋体" w:hAnsi="宋体" w:cs="宋体" w:hint="eastAsia"/>
        <w:b/>
        <w:bCs/>
        <w:color w:val="005192"/>
        <w:sz w:val="32"/>
        <w:szCs w:val="32"/>
      </w:rPr>
      <w:t>宝鸡市人民政府</w:t>
    </w:r>
    <w:r>
      <w:rPr>
        <w:rFonts w:ascii="宋体" w:eastAsia="宋体" w:hAnsi="宋体" w:cs="宋体" w:hint="eastAsia"/>
        <w:b/>
        <w:bCs/>
        <w:color w:val="005192"/>
        <w:sz w:val="32"/>
        <w:szCs w:val="32"/>
      </w:rPr>
      <w:t>规章</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172A27"/>
    <w:rsid w:val="000C08D0"/>
    <w:rsid w:val="00172A27"/>
    <w:rsid w:val="00346759"/>
    <w:rsid w:val="00480561"/>
    <w:rsid w:val="005824ED"/>
    <w:rsid w:val="00667745"/>
    <w:rsid w:val="00B262F5"/>
    <w:rsid w:val="00B72079"/>
    <w:rsid w:val="00BC3D90"/>
    <w:rsid w:val="00C75629"/>
    <w:rsid w:val="00CE785C"/>
    <w:rsid w:val="00D22DEC"/>
    <w:rsid w:val="00D33138"/>
    <w:rsid w:val="00EC38D7"/>
    <w:rsid w:val="00F101E9"/>
    <w:rsid w:val="00F84F0B"/>
    <w:rsid w:val="00FF5CD7"/>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F5CD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FF5CD7"/>
    <w:pPr>
      <w:jc w:val="left"/>
    </w:pPr>
  </w:style>
  <w:style w:type="paragraph" w:styleId="a4">
    <w:name w:val="footer"/>
    <w:basedOn w:val="a"/>
    <w:qFormat/>
    <w:rsid w:val="00FF5CD7"/>
    <w:pPr>
      <w:tabs>
        <w:tab w:val="center" w:pos="4153"/>
        <w:tab w:val="right" w:pos="8306"/>
      </w:tabs>
      <w:snapToGrid w:val="0"/>
      <w:jc w:val="left"/>
    </w:pPr>
    <w:rPr>
      <w:sz w:val="18"/>
    </w:rPr>
  </w:style>
  <w:style w:type="paragraph" w:styleId="a5">
    <w:name w:val="header"/>
    <w:basedOn w:val="a"/>
    <w:qFormat/>
    <w:rsid w:val="00FF5CD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annotation reference"/>
    <w:basedOn w:val="a0"/>
    <w:rsid w:val="00FF5CD7"/>
    <w:rPr>
      <w:sz w:val="21"/>
      <w:szCs w:val="21"/>
    </w:rPr>
  </w:style>
  <w:style w:type="paragraph" w:styleId="a7">
    <w:name w:val="Balloon Text"/>
    <w:basedOn w:val="a"/>
    <w:link w:val="Char"/>
    <w:rsid w:val="00667745"/>
    <w:rPr>
      <w:sz w:val="18"/>
      <w:szCs w:val="18"/>
    </w:rPr>
  </w:style>
  <w:style w:type="character" w:customStyle="1" w:styleId="Char">
    <w:name w:val="批注框文本 Char"/>
    <w:basedOn w:val="a0"/>
    <w:link w:val="a7"/>
    <w:rsid w:val="00667745"/>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6E109C-F70E-4EB1-92D8-4CDDAFAB0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5</Pages>
  <Words>265</Words>
  <Characters>1517</Characters>
  <Application>Microsoft Office Word</Application>
  <DocSecurity>0</DocSecurity>
  <Lines>12</Lines>
  <Paragraphs>3</Paragraphs>
  <ScaleCrop>false</ScaleCrop>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ZZY</cp:lastModifiedBy>
  <cp:revision>6</cp:revision>
  <cp:lastPrinted>2021-10-26T03:30:00Z</cp:lastPrinted>
  <dcterms:created xsi:type="dcterms:W3CDTF">2021-09-09T02:41:00Z</dcterms:created>
  <dcterms:modified xsi:type="dcterms:W3CDTF">2022-10-20T01:14:00Z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48C61CB29D3F4D9384F5922CF0F7FFB4</vt:lpwstr>
  </property>
</Properties>
</file>